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GB"/>
        </w:rPr>
        <w:id w:val="-1122841665"/>
        <w:docPartObj>
          <w:docPartGallery w:val="Cover Pages"/>
          <w:docPartUnique/>
        </w:docPartObj>
      </w:sdtPr>
      <w:sdtEndPr/>
      <w:sdtContent>
        <w:p w14:paraId="18E9CEA6" w14:textId="7F770D2A" w:rsidR="009B4489" w:rsidRPr="008B0CE2" w:rsidRDefault="00C937FC" w:rsidP="002B5C4C">
          <w:pPr>
            <w:rPr>
              <w:lang w:val="en-GB"/>
            </w:rPr>
          </w:pPr>
          <w:r w:rsidRPr="008B0CE2">
            <w:rPr>
              <w:noProof/>
              <w:lang w:eastAsia="nl-NL"/>
            </w:rPr>
            <mc:AlternateContent>
              <mc:Choice Requires="wps">
                <w:drawing>
                  <wp:anchor distT="0" distB="0" distL="114300" distR="114300" simplePos="0" relativeHeight="251658242" behindDoc="0" locked="0" layoutInCell="1" allowOverlap="1" wp14:anchorId="1163DD70" wp14:editId="6D2599BB">
                    <wp:simplePos x="0" y="0"/>
                    <wp:positionH relativeFrom="column">
                      <wp:posOffset>-50800</wp:posOffset>
                    </wp:positionH>
                    <wp:positionV relativeFrom="paragraph">
                      <wp:posOffset>4630420</wp:posOffset>
                    </wp:positionV>
                    <wp:extent cx="6014720" cy="611505"/>
                    <wp:effectExtent l="0" t="0" r="5080" b="17145"/>
                    <wp:wrapTopAndBottom/>
                    <wp:docPr id="8" name="Tekstvak 8"/>
                    <wp:cNvGraphicFramePr/>
                    <a:graphic xmlns:a="http://schemas.openxmlformats.org/drawingml/2006/main">
                      <a:graphicData uri="http://schemas.microsoft.com/office/word/2010/wordprocessingShape">
                        <wps:wsp>
                          <wps:cNvSpPr txBox="1"/>
                          <wps:spPr>
                            <a:xfrm>
                              <a:off x="0" y="0"/>
                              <a:ext cx="6014720" cy="6115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CE4E1D" w14:textId="7390A5E7" w:rsidR="00A85FB7" w:rsidRPr="00504CA4" w:rsidRDefault="00A85FB7" w:rsidP="002B5C4C">
                                <w:pPr>
                                  <w:pStyle w:val="Headingnotintableofcontents"/>
                                  <w:rPr>
                                    <w:lang w:val="en-G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3DD70" id="_x0000_t202" coordsize="21600,21600" o:spt="202" path="m,l,21600r21600,l21600,xe">
                    <v:stroke joinstyle="miter"/>
                    <v:path gradientshapeok="t" o:connecttype="rect"/>
                  </v:shapetype>
                  <v:shape id="Tekstvak 8" o:spid="_x0000_s1026" type="#_x0000_t202" style="position:absolute;margin-left:-4pt;margin-top:364.6pt;width:473.6pt;height:48.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" filled="f" stroked="f">
                    <v:textbox inset="0,0,0,0">
                      <w:txbxContent>
                        <w:p w14:paraId="25CE4E1D" w14:textId="7390A5E7" w:rsidR="00A85FB7" w:rsidRPr="00504CA4" w:rsidRDefault="00A85FB7" w:rsidP="002B5C4C">
                          <w:pPr>
                            <w:pStyle w:val="Headingnotintableofcontents"/>
                            <w:rPr>
                              <w:lang w:val="en-GB"/>
                            </w:rPr>
                          </w:pPr>
                        </w:p>
                      </w:txbxContent>
                    </v:textbox>
                    <w10:wrap type="topAndBottom"/>
                  </v:shape>
                </w:pict>
              </mc:Fallback>
            </mc:AlternateContent>
          </w:r>
          <w:r w:rsidR="005E7C57" w:rsidRPr="008B0CE2">
            <w:rPr>
              <w:noProof/>
              <w:lang w:eastAsia="nl-NL"/>
            </w:rPr>
            <mc:AlternateContent>
              <mc:Choice Requires="wps">
                <w:drawing>
                  <wp:anchor distT="0" distB="0" distL="114300" distR="114300" simplePos="0" relativeHeight="251658240" behindDoc="0" locked="0" layoutInCell="1" allowOverlap="1" wp14:anchorId="133EB418" wp14:editId="4F2CA34A">
                    <wp:simplePos x="0" y="0"/>
                    <wp:positionH relativeFrom="column">
                      <wp:posOffset>-48895</wp:posOffset>
                    </wp:positionH>
                    <wp:positionV relativeFrom="paragraph">
                      <wp:posOffset>20320</wp:posOffset>
                    </wp:positionV>
                    <wp:extent cx="5562600" cy="4610100"/>
                    <wp:effectExtent l="0" t="0" r="0" b="12700"/>
                    <wp:wrapTopAndBottom/>
                    <wp:docPr id="5" name="Tekstvak 5"/>
                    <wp:cNvGraphicFramePr/>
                    <a:graphic xmlns:a="http://schemas.openxmlformats.org/drawingml/2006/main">
                      <a:graphicData uri="http://schemas.microsoft.com/office/word/2010/wordprocessingShape">
                        <wps:wsp>
                          <wps:cNvSpPr txBox="1"/>
                          <wps:spPr>
                            <a:xfrm>
                              <a:off x="0" y="0"/>
                              <a:ext cx="5562600" cy="461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7791E3" w14:textId="77777777" w:rsidR="00A85FB7" w:rsidRPr="00897ED2" w:rsidRDefault="00A85FB7" w:rsidP="007F4964">
                                <w:pPr>
                                  <w:pStyle w:val="Title"/>
                                  <w:rPr>
                                    <w:noProof/>
                                    <w:lang w:val="en-GB"/>
                                  </w:rPr>
                                </w:pPr>
                                <w:r>
                                  <w:fldChar w:fldCharType="begin"/>
                                </w:r>
                                <w:r w:rsidRPr="0011079D">
                                  <w:rPr>
                                    <w:lang w:val="en-US"/>
                                  </w:rPr>
                                  <w:instrText xml:space="preserve"> DOCPROPERTY Title \* MERGEFORMAT</w:instrText>
                                </w:r>
                                <w:r w:rsidRPr="00211866">
                                  <w:rPr>
                                    <w:lang w:val="en-US"/>
                                  </w:rPr>
                                  <w:instrText xml:space="preserve"> </w:instrText>
                                </w:r>
                                <w:r>
                                  <w:fldChar w:fldCharType="separate"/>
                                </w:r>
                                <w:r>
                                  <w:rPr>
                                    <w:lang w:val="en-US"/>
                                  </w:rPr>
                                  <w:t>Open Call document IOF2020</w:t>
                                </w:r>
                                <w:r>
                                  <w:rPr>
                                    <w:noProof/>
                                  </w:rPr>
                                  <w:fldChar w:fldCharType="end"/>
                                </w:r>
                                <w:r w:rsidRPr="00897ED2">
                                  <w:rPr>
                                    <w:noProof/>
                                    <w:lang w:val="en-GB"/>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133EB418" id="Tekstvak 5" o:spid="_x0000_s1027" type="#_x0000_t202" style="position:absolute;margin-left:-3.85pt;margin-top:1.6pt;width:438pt;height:36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" filled="f" stroked="f">
                    <v:textbox inset="0,0,0,0">
                      <w:txbxContent>
                        <w:p w14:paraId="107791E3" w14:textId="77777777" w:rsidR="00A85FB7" w:rsidRPr="00897ED2" w:rsidRDefault="00A85FB7" w:rsidP="007F4964">
                          <w:pPr>
                            <w:pStyle w:val="Title"/>
                            <w:rPr>
                              <w:noProof/>
                              <w:lang w:val="en-GB"/>
                            </w:rPr>
                          </w:pPr>
                          <w:r>
                            <w:fldChar w:fldCharType="begin"/>
                          </w:r>
                          <w:r w:rsidRPr="0011079D">
                            <w:rPr>
                              <w:lang w:val="en-US"/>
                            </w:rPr>
                            <w:instrText xml:space="preserve"> DOCPROPERTY Title \* MERGEFORMAT</w:instrText>
                          </w:r>
                          <w:r w:rsidRPr="00211866">
                            <w:rPr>
                              <w:lang w:val="en-US"/>
                            </w:rPr>
                            <w:instrText xml:space="preserve"> </w:instrText>
                          </w:r>
                          <w:r>
                            <w:fldChar w:fldCharType="separate"/>
                          </w:r>
                          <w:r>
                            <w:rPr>
                              <w:lang w:val="en-US"/>
                            </w:rPr>
                            <w:t>Open Call document IOF2020</w:t>
                          </w:r>
                          <w:r>
                            <w:rPr>
                              <w:noProof/>
                            </w:rPr>
                            <w:fldChar w:fldCharType="end"/>
                          </w:r>
                          <w:r w:rsidRPr="00897ED2">
                            <w:rPr>
                              <w:noProof/>
                              <w:lang w:val="en-GB"/>
                            </w:rPr>
                            <w:t xml:space="preserve"> </w:t>
                          </w:r>
                        </w:p>
                      </w:txbxContent>
                    </v:textbox>
                    <w10:wrap type="topAndBottom"/>
                  </v:shape>
                </w:pict>
              </mc:Fallback>
            </mc:AlternateContent>
          </w:r>
          <w:r w:rsidR="009B4489" w:rsidRPr="008B0CE2">
            <w:rPr>
              <w:lang w:val="en-GB"/>
            </w:rPr>
            <w:br w:type="page"/>
          </w:r>
        </w:p>
        <w:p w14:paraId="1BABADCE" w14:textId="77777777" w:rsidR="009B4489" w:rsidRPr="008B0CE2" w:rsidRDefault="440E69A3" w:rsidP="440E69A3">
          <w:pPr>
            <w:pStyle w:val="Headingnotintableofcontents"/>
            <w:rPr>
              <w:noProof w:val="0"/>
              <w:lang w:val="en-GB"/>
            </w:rPr>
          </w:pPr>
          <w:r w:rsidRPr="440E69A3">
            <w:rPr>
              <w:noProof w:val="0"/>
              <w:lang w:val="en-GB"/>
            </w:rPr>
            <w:lastRenderedPageBreak/>
            <w:t>document identification</w:t>
          </w:r>
        </w:p>
        <w:p w14:paraId="24376AB7" w14:textId="77777777" w:rsidR="00CD0D07" w:rsidRPr="008B0CE2" w:rsidRDefault="009A7120" w:rsidP="009B4489">
          <w:pPr>
            <w:rPr>
              <w:lang w:val="en-GB"/>
            </w:rPr>
          </w:pPr>
        </w:p>
      </w:sdtContent>
    </w:sdt>
    <w:tbl>
      <w:tblPr>
        <w:tblStyle w:val="IoF2020"/>
        <w:tblW w:w="0" w:type="auto"/>
        <w:tblLook w:val="04A0" w:firstRow="1" w:lastRow="0" w:firstColumn="1" w:lastColumn="0" w:noHBand="0" w:noVBand="1"/>
      </w:tblPr>
      <w:tblGrid>
        <w:gridCol w:w="2694"/>
        <w:gridCol w:w="5670"/>
      </w:tblGrid>
      <w:tr w:rsidR="009B4489" w:rsidRPr="008B0CE2" w14:paraId="6FA6529D" w14:textId="77777777" w:rsidTr="440E69A3">
        <w:trPr>
          <w:cnfStyle w:val="100000000000" w:firstRow="1" w:lastRow="0" w:firstColumn="0" w:lastColumn="0" w:oddVBand="0" w:evenVBand="0" w:oddHBand="0" w:evenHBand="0" w:firstRowFirstColumn="0" w:firstRowLastColumn="0" w:lastRowFirstColumn="0" w:lastRowLastColumn="0"/>
        </w:trPr>
        <w:tc>
          <w:tcPr>
            <w:tcW w:w="2694" w:type="dxa"/>
          </w:tcPr>
          <w:p w14:paraId="7D05AEC4" w14:textId="77777777" w:rsidR="009B4489" w:rsidRPr="008B0CE2" w:rsidRDefault="440E69A3" w:rsidP="002B5C4C">
            <w:pPr>
              <w:pStyle w:val="Table-Header"/>
            </w:pPr>
            <w:r>
              <w:t>Project Acronym</w:t>
            </w:r>
          </w:p>
        </w:tc>
        <w:tc>
          <w:tcPr>
            <w:tcW w:w="5670" w:type="dxa"/>
          </w:tcPr>
          <w:p w14:paraId="5E0E8F8F" w14:textId="77777777" w:rsidR="009B4489" w:rsidRPr="008B0CE2" w:rsidRDefault="440E69A3" w:rsidP="440E69A3">
            <w:pPr>
              <w:rPr>
                <w:b/>
                <w:bCs/>
                <w:lang w:val="en-GB"/>
              </w:rPr>
            </w:pPr>
            <w:r w:rsidRPr="440E69A3">
              <w:rPr>
                <w:b/>
                <w:bCs/>
                <w:lang w:val="en-GB"/>
              </w:rPr>
              <w:t>IoF2020</w:t>
            </w:r>
          </w:p>
        </w:tc>
      </w:tr>
      <w:tr w:rsidR="002B5C4C" w:rsidRPr="005F3E9F" w14:paraId="67A3D206" w14:textId="77777777" w:rsidTr="440E69A3">
        <w:tc>
          <w:tcPr>
            <w:tcW w:w="2694" w:type="dxa"/>
          </w:tcPr>
          <w:p w14:paraId="5ABC3FED" w14:textId="77777777" w:rsidR="009B4489" w:rsidRPr="008B0CE2" w:rsidRDefault="440E69A3" w:rsidP="002B5C4C">
            <w:pPr>
              <w:pStyle w:val="Table-Header"/>
            </w:pPr>
            <w:r>
              <w:t>Project Full Title</w:t>
            </w:r>
          </w:p>
        </w:tc>
        <w:tc>
          <w:tcPr>
            <w:tcW w:w="5670" w:type="dxa"/>
          </w:tcPr>
          <w:p w14:paraId="02ED60B6" w14:textId="77777777" w:rsidR="009B4489" w:rsidRPr="008B0CE2" w:rsidRDefault="440E69A3" w:rsidP="440E69A3">
            <w:pPr>
              <w:rPr>
                <w:lang w:val="en-GB"/>
              </w:rPr>
            </w:pPr>
            <w:r w:rsidRPr="440E69A3">
              <w:rPr>
                <w:lang w:val="en-GB"/>
              </w:rPr>
              <w:t>Internet of Food and Farm 2020</w:t>
            </w:r>
          </w:p>
        </w:tc>
      </w:tr>
      <w:tr w:rsidR="009B4489" w:rsidRPr="008B0CE2" w14:paraId="0CFE0F64" w14:textId="77777777" w:rsidTr="440E69A3">
        <w:tc>
          <w:tcPr>
            <w:tcW w:w="2694" w:type="dxa"/>
          </w:tcPr>
          <w:p w14:paraId="12BD1AF5" w14:textId="77777777" w:rsidR="009B4489" w:rsidRPr="008B0CE2" w:rsidRDefault="440E69A3" w:rsidP="002B5C4C">
            <w:pPr>
              <w:pStyle w:val="Table-Header"/>
            </w:pPr>
            <w:r>
              <w:t>Project Number</w:t>
            </w:r>
          </w:p>
        </w:tc>
        <w:tc>
          <w:tcPr>
            <w:tcW w:w="5670" w:type="dxa"/>
          </w:tcPr>
          <w:p w14:paraId="7BBFED43" w14:textId="77777777" w:rsidR="009B4489" w:rsidRPr="008B0CE2" w:rsidRDefault="440E69A3" w:rsidP="440E69A3">
            <w:pPr>
              <w:rPr>
                <w:lang w:val="en-GB"/>
              </w:rPr>
            </w:pPr>
            <w:r w:rsidRPr="440E69A3">
              <w:rPr>
                <w:lang w:val="en-GB"/>
              </w:rPr>
              <w:t>731884</w:t>
            </w:r>
          </w:p>
        </w:tc>
      </w:tr>
      <w:tr w:rsidR="002B5C4C" w:rsidRPr="008B0CE2" w14:paraId="57D6128D" w14:textId="77777777" w:rsidTr="440E69A3">
        <w:tc>
          <w:tcPr>
            <w:tcW w:w="2694" w:type="dxa"/>
          </w:tcPr>
          <w:p w14:paraId="09A1201C" w14:textId="77777777" w:rsidR="009B4489" w:rsidRPr="008B0CE2" w:rsidRDefault="440E69A3" w:rsidP="002B5C4C">
            <w:pPr>
              <w:pStyle w:val="Table-Header"/>
            </w:pPr>
            <w:r>
              <w:t>Starting Date</w:t>
            </w:r>
          </w:p>
        </w:tc>
        <w:tc>
          <w:tcPr>
            <w:tcW w:w="5670" w:type="dxa"/>
          </w:tcPr>
          <w:p w14:paraId="05598F2B" w14:textId="77777777" w:rsidR="009B4489" w:rsidRPr="008B0CE2" w:rsidRDefault="440E69A3" w:rsidP="440E69A3">
            <w:pPr>
              <w:rPr>
                <w:lang w:val="en-GB"/>
              </w:rPr>
            </w:pPr>
            <w:r w:rsidRPr="440E69A3">
              <w:rPr>
                <w:lang w:val="en-GB"/>
              </w:rPr>
              <w:t xml:space="preserve">January 1st, 2017 </w:t>
            </w:r>
          </w:p>
        </w:tc>
      </w:tr>
      <w:tr w:rsidR="009B4489" w:rsidRPr="008B0CE2" w14:paraId="64BB0D15" w14:textId="77777777" w:rsidTr="440E69A3">
        <w:tc>
          <w:tcPr>
            <w:tcW w:w="2694" w:type="dxa"/>
          </w:tcPr>
          <w:p w14:paraId="4A929253" w14:textId="77777777" w:rsidR="009B4489" w:rsidRPr="008B0CE2" w:rsidRDefault="440E69A3" w:rsidP="002B5C4C">
            <w:pPr>
              <w:pStyle w:val="Table-Header"/>
            </w:pPr>
            <w:r>
              <w:t>Duration</w:t>
            </w:r>
          </w:p>
        </w:tc>
        <w:tc>
          <w:tcPr>
            <w:tcW w:w="5670" w:type="dxa"/>
          </w:tcPr>
          <w:p w14:paraId="74045197" w14:textId="77777777" w:rsidR="009B4489" w:rsidRPr="008B0CE2" w:rsidRDefault="440E69A3" w:rsidP="440E69A3">
            <w:pPr>
              <w:rPr>
                <w:lang w:val="en-GB"/>
              </w:rPr>
            </w:pPr>
            <w:r w:rsidRPr="440E69A3">
              <w:rPr>
                <w:lang w:val="en-GB"/>
              </w:rPr>
              <w:t>4 years</w:t>
            </w:r>
          </w:p>
        </w:tc>
      </w:tr>
      <w:tr w:rsidR="002B5C4C" w:rsidRPr="008B0CE2" w14:paraId="6CD9FB30" w14:textId="77777777" w:rsidTr="440E69A3">
        <w:tc>
          <w:tcPr>
            <w:tcW w:w="2694" w:type="dxa"/>
          </w:tcPr>
          <w:p w14:paraId="76F1C8F3" w14:textId="77777777" w:rsidR="009B4489" w:rsidRPr="008B0CE2" w:rsidRDefault="440E69A3" w:rsidP="002B5C4C">
            <w:pPr>
              <w:pStyle w:val="Table-Header"/>
            </w:pPr>
            <w:r>
              <w:t>H2020 Call ID &amp; Topic</w:t>
            </w:r>
          </w:p>
        </w:tc>
        <w:tc>
          <w:tcPr>
            <w:tcW w:w="5670" w:type="dxa"/>
          </w:tcPr>
          <w:p w14:paraId="34B708D1" w14:textId="77777777" w:rsidR="009B4489" w:rsidRPr="008B0CE2" w:rsidRDefault="440E69A3" w:rsidP="440E69A3">
            <w:pPr>
              <w:rPr>
                <w:lang w:val="en-GB"/>
              </w:rPr>
            </w:pPr>
            <w:r w:rsidRPr="440E69A3">
              <w:rPr>
                <w:lang w:val="en-GB"/>
              </w:rPr>
              <w:t>H2020-IOT-2016</w:t>
            </w:r>
          </w:p>
        </w:tc>
      </w:tr>
      <w:tr w:rsidR="002B5C4C" w:rsidRPr="008B0CE2" w14:paraId="6BE630A4" w14:textId="77777777" w:rsidTr="440E69A3">
        <w:tc>
          <w:tcPr>
            <w:tcW w:w="2694" w:type="dxa"/>
          </w:tcPr>
          <w:p w14:paraId="554B3BF7" w14:textId="77777777" w:rsidR="009B4489" w:rsidRPr="008B0CE2" w:rsidRDefault="440E69A3" w:rsidP="002B5C4C">
            <w:pPr>
              <w:pStyle w:val="Table-Header"/>
            </w:pPr>
            <w:r>
              <w:t>Date</w:t>
            </w:r>
          </w:p>
        </w:tc>
        <w:tc>
          <w:tcPr>
            <w:tcW w:w="5670" w:type="dxa"/>
          </w:tcPr>
          <w:p w14:paraId="424854B3" w14:textId="0396A09F" w:rsidR="009B4489" w:rsidRPr="008B0CE2" w:rsidRDefault="00A35979" w:rsidP="00DE62CE">
            <w:pPr>
              <w:rPr>
                <w:lang w:val="en-GB"/>
              </w:rPr>
            </w:pPr>
            <w:r>
              <w:rPr>
                <w:lang w:val="en-GB"/>
              </w:rPr>
              <w:t xml:space="preserve">June </w:t>
            </w:r>
            <w:r w:rsidR="005F3E9F">
              <w:rPr>
                <w:lang w:val="en-GB"/>
              </w:rPr>
              <w:t>4</w:t>
            </w:r>
            <w:r w:rsidR="440E69A3" w:rsidRPr="440E69A3">
              <w:rPr>
                <w:lang w:val="en-GB"/>
              </w:rPr>
              <w:t>, 2018</w:t>
            </w:r>
          </w:p>
        </w:tc>
      </w:tr>
    </w:tbl>
    <w:p w14:paraId="7E1A786E" w14:textId="77777777" w:rsidR="009B4489" w:rsidRPr="008B0CE2" w:rsidRDefault="009B4489">
      <w:pPr>
        <w:spacing w:before="0" w:after="0"/>
        <w:rPr>
          <w:b/>
          <w:bCs/>
          <w:caps/>
          <w:color w:val="auto"/>
          <w:sz w:val="28"/>
          <w:szCs w:val="22"/>
          <w:lang w:val="en-GB"/>
        </w:rPr>
      </w:pPr>
      <w:bookmarkStart w:id="0" w:name="_GoBack"/>
      <w:bookmarkEnd w:id="0"/>
      <w:r w:rsidRPr="008B0CE2">
        <w:rPr>
          <w:lang w:val="en-GB"/>
        </w:rPr>
        <w:br w:type="page"/>
      </w:r>
    </w:p>
    <w:p w14:paraId="588B20AD" w14:textId="77777777" w:rsidR="009B4489" w:rsidRPr="008B0CE2" w:rsidRDefault="440E69A3" w:rsidP="440E69A3">
      <w:pPr>
        <w:pStyle w:val="Headingnotintableofcontents"/>
        <w:rPr>
          <w:noProof w:val="0"/>
          <w:lang w:val="en-GB"/>
        </w:rPr>
      </w:pPr>
      <w:r w:rsidRPr="440E69A3">
        <w:rPr>
          <w:noProof w:val="0"/>
          <w:lang w:val="en-GB"/>
        </w:rPr>
        <w:lastRenderedPageBreak/>
        <w:t>table of contents</w:t>
      </w:r>
    </w:p>
    <w:p w14:paraId="6C716B7B" w14:textId="77777777" w:rsidR="009B4489" w:rsidRPr="008B0CE2" w:rsidRDefault="009B4489" w:rsidP="009B4489">
      <w:pPr>
        <w:rPr>
          <w:lang w:val="en-GB"/>
        </w:rPr>
      </w:pPr>
    </w:p>
    <w:p w14:paraId="0888646B" w14:textId="00F46952" w:rsidR="00893EC6" w:rsidRPr="005F3E9F" w:rsidRDefault="00DB6426">
      <w:pPr>
        <w:pStyle w:val="TOC1"/>
        <w:rPr>
          <w:rFonts w:asciiTheme="minorHAnsi" w:eastAsiaTheme="minorEastAsia" w:hAnsiTheme="minorHAnsi" w:cstheme="minorBidi"/>
          <w:b w:val="0"/>
          <w:bCs w:val="0"/>
          <w:sz w:val="22"/>
          <w:lang w:val="en-GB" w:eastAsia="nl-NL"/>
        </w:rPr>
      </w:pPr>
      <w:r w:rsidRPr="008B0CE2">
        <w:rPr>
          <w:caps/>
          <w:noProof w:val="0"/>
          <w:lang w:val="en-GB"/>
        </w:rPr>
        <w:fldChar w:fldCharType="begin"/>
      </w:r>
      <w:r w:rsidRPr="008B0CE2">
        <w:rPr>
          <w:noProof w:val="0"/>
          <w:lang w:val="en-GB"/>
        </w:rPr>
        <w:instrText xml:space="preserve"> TOC \o "1-3" </w:instrText>
      </w:r>
      <w:r w:rsidRPr="008B0CE2">
        <w:rPr>
          <w:caps/>
          <w:noProof w:val="0"/>
          <w:lang w:val="en-GB"/>
        </w:rPr>
        <w:fldChar w:fldCharType="separate"/>
      </w:r>
      <w:r w:rsidR="00893EC6" w:rsidRPr="00063667">
        <w:rPr>
          <w:lang w:val="en-GB"/>
        </w:rPr>
        <w:t>1.</w:t>
      </w:r>
      <w:r w:rsidR="00893EC6" w:rsidRPr="005F3E9F">
        <w:rPr>
          <w:rFonts w:asciiTheme="minorHAnsi" w:eastAsiaTheme="minorEastAsia" w:hAnsiTheme="minorHAnsi" w:cstheme="minorBidi"/>
          <w:b w:val="0"/>
          <w:bCs w:val="0"/>
          <w:sz w:val="22"/>
          <w:lang w:val="en-GB" w:eastAsia="nl-NL"/>
        </w:rPr>
        <w:tab/>
      </w:r>
      <w:r w:rsidR="00893EC6" w:rsidRPr="00063667">
        <w:rPr>
          <w:lang w:val="en-GB"/>
        </w:rPr>
        <w:t>Overview of the IOF2020 Open Call</w:t>
      </w:r>
      <w:r w:rsidR="00893EC6">
        <w:tab/>
      </w:r>
      <w:r w:rsidR="00893EC6">
        <w:fldChar w:fldCharType="begin"/>
      </w:r>
      <w:r w:rsidR="00893EC6">
        <w:instrText xml:space="preserve"> PAGEREF _Toc515638334 \h </w:instrText>
      </w:r>
      <w:r w:rsidR="00893EC6">
        <w:fldChar w:fldCharType="separate"/>
      </w:r>
      <w:r w:rsidR="00893EC6">
        <w:t>4</w:t>
      </w:r>
      <w:r w:rsidR="00893EC6">
        <w:fldChar w:fldCharType="end"/>
      </w:r>
    </w:p>
    <w:p w14:paraId="7381113F" w14:textId="0258C530" w:rsidR="00893EC6" w:rsidRPr="005F3E9F" w:rsidRDefault="00893EC6">
      <w:pPr>
        <w:pStyle w:val="TOC1"/>
        <w:rPr>
          <w:rFonts w:asciiTheme="minorHAnsi" w:eastAsiaTheme="minorEastAsia" w:hAnsiTheme="minorHAnsi" w:cstheme="minorBidi"/>
          <w:b w:val="0"/>
          <w:bCs w:val="0"/>
          <w:sz w:val="22"/>
          <w:lang w:val="en-GB" w:eastAsia="nl-NL"/>
        </w:rPr>
      </w:pPr>
      <w:r w:rsidRPr="00063667">
        <w:rPr>
          <w:lang w:val="en-GB"/>
        </w:rPr>
        <w:t>2.</w:t>
      </w:r>
      <w:r w:rsidRPr="005F3E9F">
        <w:rPr>
          <w:rFonts w:asciiTheme="minorHAnsi" w:eastAsiaTheme="minorEastAsia" w:hAnsiTheme="minorHAnsi" w:cstheme="minorBidi"/>
          <w:b w:val="0"/>
          <w:bCs w:val="0"/>
          <w:sz w:val="22"/>
          <w:lang w:val="en-GB" w:eastAsia="nl-NL"/>
        </w:rPr>
        <w:tab/>
      </w:r>
      <w:r w:rsidRPr="00063667">
        <w:rPr>
          <w:lang w:val="en-GB"/>
        </w:rPr>
        <w:t>The current IoF2020 Use Cases and Stakeholders</w:t>
      </w:r>
      <w:r>
        <w:tab/>
      </w:r>
      <w:r>
        <w:fldChar w:fldCharType="begin"/>
      </w:r>
      <w:r>
        <w:instrText xml:space="preserve"> PAGEREF _Toc515638335 \h </w:instrText>
      </w:r>
      <w:r>
        <w:fldChar w:fldCharType="separate"/>
      </w:r>
      <w:r>
        <w:t>5</w:t>
      </w:r>
      <w:r>
        <w:fldChar w:fldCharType="end"/>
      </w:r>
    </w:p>
    <w:p w14:paraId="397F81F4" w14:textId="527DF284" w:rsidR="00893EC6" w:rsidRPr="005F3E9F" w:rsidRDefault="00893EC6">
      <w:pPr>
        <w:pStyle w:val="TOC2"/>
        <w:rPr>
          <w:rFonts w:asciiTheme="minorHAnsi" w:eastAsiaTheme="minorEastAsia" w:hAnsiTheme="minorHAnsi" w:cstheme="minorBidi"/>
          <w:b w:val="0"/>
          <w:bCs w:val="0"/>
          <w:caps w:val="0"/>
          <w:color w:val="auto"/>
          <w:sz w:val="22"/>
          <w:lang w:val="en-GB" w:eastAsia="nl-NL"/>
        </w:rPr>
      </w:pPr>
      <w:r>
        <w:t>2.1.</w:t>
      </w:r>
      <w:r w:rsidRPr="005F3E9F">
        <w:rPr>
          <w:rFonts w:asciiTheme="minorHAnsi" w:eastAsiaTheme="minorEastAsia" w:hAnsiTheme="minorHAnsi" w:cstheme="minorBidi"/>
          <w:b w:val="0"/>
          <w:bCs w:val="0"/>
          <w:caps w:val="0"/>
          <w:color w:val="auto"/>
          <w:sz w:val="22"/>
          <w:lang w:val="en-GB" w:eastAsia="nl-NL"/>
        </w:rPr>
        <w:tab/>
      </w:r>
      <w:r>
        <w:t>IoF 2020 Use Cases – grouped in 5 Trial Areas</w:t>
      </w:r>
      <w:r>
        <w:tab/>
      </w:r>
      <w:r>
        <w:fldChar w:fldCharType="begin"/>
      </w:r>
      <w:r>
        <w:instrText xml:space="preserve"> PAGEREF _Toc515638336 \h </w:instrText>
      </w:r>
      <w:r>
        <w:fldChar w:fldCharType="separate"/>
      </w:r>
      <w:r>
        <w:t>5</w:t>
      </w:r>
      <w:r>
        <w:fldChar w:fldCharType="end"/>
      </w:r>
    </w:p>
    <w:p w14:paraId="6BA94AA0" w14:textId="2D823410" w:rsidR="00893EC6" w:rsidRPr="005F3E9F" w:rsidRDefault="00893EC6">
      <w:pPr>
        <w:pStyle w:val="TOC2"/>
        <w:rPr>
          <w:rFonts w:asciiTheme="minorHAnsi" w:eastAsiaTheme="minorEastAsia" w:hAnsiTheme="minorHAnsi" w:cstheme="minorBidi"/>
          <w:b w:val="0"/>
          <w:bCs w:val="0"/>
          <w:caps w:val="0"/>
          <w:color w:val="auto"/>
          <w:sz w:val="22"/>
          <w:lang w:val="en-GB" w:eastAsia="nl-NL"/>
        </w:rPr>
      </w:pPr>
      <w:r>
        <w:t>2.2.</w:t>
      </w:r>
      <w:r w:rsidRPr="005F3E9F">
        <w:rPr>
          <w:rFonts w:asciiTheme="minorHAnsi" w:eastAsiaTheme="minorEastAsia" w:hAnsiTheme="minorHAnsi" w:cstheme="minorBidi"/>
          <w:b w:val="0"/>
          <w:bCs w:val="0"/>
          <w:caps w:val="0"/>
          <w:color w:val="auto"/>
          <w:sz w:val="22"/>
          <w:lang w:val="en-GB" w:eastAsia="nl-NL"/>
        </w:rPr>
        <w:tab/>
      </w:r>
      <w:r>
        <w:t>Main Use Case Characteristics</w:t>
      </w:r>
      <w:r>
        <w:tab/>
      </w:r>
      <w:r>
        <w:fldChar w:fldCharType="begin"/>
      </w:r>
      <w:r>
        <w:instrText xml:space="preserve"> PAGEREF _Toc515638337 \h </w:instrText>
      </w:r>
      <w:r>
        <w:fldChar w:fldCharType="separate"/>
      </w:r>
      <w:r>
        <w:t>6</w:t>
      </w:r>
      <w:r>
        <w:fldChar w:fldCharType="end"/>
      </w:r>
    </w:p>
    <w:p w14:paraId="58A0C5EC" w14:textId="473F0E12" w:rsidR="00893EC6" w:rsidRPr="005F3E9F" w:rsidRDefault="00893EC6">
      <w:pPr>
        <w:pStyle w:val="TOC2"/>
        <w:rPr>
          <w:rFonts w:asciiTheme="minorHAnsi" w:eastAsiaTheme="minorEastAsia" w:hAnsiTheme="minorHAnsi" w:cstheme="minorBidi"/>
          <w:b w:val="0"/>
          <w:bCs w:val="0"/>
          <w:caps w:val="0"/>
          <w:color w:val="auto"/>
          <w:sz w:val="22"/>
          <w:lang w:val="en-GB" w:eastAsia="nl-NL"/>
        </w:rPr>
      </w:pPr>
      <w:r>
        <w:t>2.3.</w:t>
      </w:r>
      <w:r w:rsidRPr="005F3E9F">
        <w:rPr>
          <w:rFonts w:asciiTheme="minorHAnsi" w:eastAsiaTheme="minorEastAsia" w:hAnsiTheme="minorHAnsi" w:cstheme="minorBidi"/>
          <w:b w:val="0"/>
          <w:bCs w:val="0"/>
          <w:caps w:val="0"/>
          <w:color w:val="auto"/>
          <w:sz w:val="22"/>
          <w:lang w:val="en-GB" w:eastAsia="nl-NL"/>
        </w:rPr>
        <w:tab/>
      </w:r>
      <w:r>
        <w:t>Stakeholder Involvement</w:t>
      </w:r>
      <w:r>
        <w:tab/>
      </w:r>
      <w:r>
        <w:fldChar w:fldCharType="begin"/>
      </w:r>
      <w:r>
        <w:instrText xml:space="preserve"> PAGEREF _Toc515638338 \h </w:instrText>
      </w:r>
      <w:r>
        <w:fldChar w:fldCharType="separate"/>
      </w:r>
      <w:r>
        <w:t>6</w:t>
      </w:r>
      <w:r>
        <w:fldChar w:fldCharType="end"/>
      </w:r>
    </w:p>
    <w:p w14:paraId="2AD5DADC" w14:textId="79A5EA55" w:rsidR="00893EC6" w:rsidRPr="005F3E9F" w:rsidRDefault="00893EC6">
      <w:pPr>
        <w:pStyle w:val="TOC1"/>
        <w:rPr>
          <w:rFonts w:asciiTheme="minorHAnsi" w:eastAsiaTheme="minorEastAsia" w:hAnsiTheme="minorHAnsi" w:cstheme="minorBidi"/>
          <w:b w:val="0"/>
          <w:bCs w:val="0"/>
          <w:sz w:val="22"/>
          <w:lang w:val="en-GB" w:eastAsia="nl-NL"/>
        </w:rPr>
      </w:pPr>
      <w:r w:rsidRPr="00063667">
        <w:rPr>
          <w:lang w:val="en-GB"/>
        </w:rPr>
        <w:t>3.</w:t>
      </w:r>
      <w:r w:rsidRPr="005F3E9F">
        <w:rPr>
          <w:rFonts w:asciiTheme="minorHAnsi" w:eastAsiaTheme="minorEastAsia" w:hAnsiTheme="minorHAnsi" w:cstheme="minorBidi"/>
          <w:b w:val="0"/>
          <w:bCs w:val="0"/>
          <w:sz w:val="22"/>
          <w:lang w:val="en-GB" w:eastAsia="nl-NL"/>
        </w:rPr>
        <w:tab/>
      </w:r>
      <w:r w:rsidRPr="00063667">
        <w:rPr>
          <w:lang w:val="en-GB"/>
        </w:rPr>
        <w:t>Objective of the Open Call and major challenges</w:t>
      </w:r>
      <w:r>
        <w:tab/>
      </w:r>
      <w:r>
        <w:fldChar w:fldCharType="begin"/>
      </w:r>
      <w:r>
        <w:instrText xml:space="preserve"> PAGEREF _Toc515638339 \h </w:instrText>
      </w:r>
      <w:r>
        <w:fldChar w:fldCharType="separate"/>
      </w:r>
      <w:r>
        <w:t>8</w:t>
      </w:r>
      <w:r>
        <w:fldChar w:fldCharType="end"/>
      </w:r>
    </w:p>
    <w:p w14:paraId="6939E184" w14:textId="1A0F5BBE" w:rsidR="00893EC6" w:rsidRPr="005F3E9F" w:rsidRDefault="00893EC6">
      <w:pPr>
        <w:pStyle w:val="TOC1"/>
        <w:rPr>
          <w:rFonts w:asciiTheme="minorHAnsi" w:eastAsiaTheme="minorEastAsia" w:hAnsiTheme="minorHAnsi" w:cstheme="minorBidi"/>
          <w:b w:val="0"/>
          <w:bCs w:val="0"/>
          <w:sz w:val="22"/>
          <w:lang w:val="en-GB" w:eastAsia="nl-NL"/>
        </w:rPr>
      </w:pPr>
      <w:r w:rsidRPr="00063667">
        <w:rPr>
          <w:lang w:val="en-GB"/>
        </w:rPr>
        <w:t>4.</w:t>
      </w:r>
      <w:r w:rsidRPr="005F3E9F">
        <w:rPr>
          <w:rFonts w:asciiTheme="minorHAnsi" w:eastAsiaTheme="minorEastAsia" w:hAnsiTheme="minorHAnsi" w:cstheme="minorBidi"/>
          <w:b w:val="0"/>
          <w:bCs w:val="0"/>
          <w:sz w:val="22"/>
          <w:lang w:val="en-GB" w:eastAsia="nl-NL"/>
        </w:rPr>
        <w:tab/>
      </w:r>
      <w:r w:rsidRPr="00063667">
        <w:rPr>
          <w:lang w:val="en-GB"/>
        </w:rPr>
        <w:t>Available budget and Call Schedule</w:t>
      </w:r>
      <w:r>
        <w:tab/>
      </w:r>
      <w:r>
        <w:fldChar w:fldCharType="begin"/>
      </w:r>
      <w:r>
        <w:instrText xml:space="preserve"> PAGEREF _Toc515638340 \h </w:instrText>
      </w:r>
      <w:r>
        <w:fldChar w:fldCharType="separate"/>
      </w:r>
      <w:r>
        <w:t>9</w:t>
      </w:r>
      <w:r>
        <w:fldChar w:fldCharType="end"/>
      </w:r>
    </w:p>
    <w:p w14:paraId="6C8D7C9C" w14:textId="2AD7EF5F" w:rsidR="00893EC6" w:rsidRPr="005F3E9F" w:rsidRDefault="00893EC6">
      <w:pPr>
        <w:pStyle w:val="TOC1"/>
        <w:rPr>
          <w:rFonts w:asciiTheme="minorHAnsi" w:eastAsiaTheme="minorEastAsia" w:hAnsiTheme="minorHAnsi" w:cstheme="minorBidi"/>
          <w:b w:val="0"/>
          <w:bCs w:val="0"/>
          <w:sz w:val="22"/>
          <w:lang w:val="en-GB" w:eastAsia="nl-NL"/>
        </w:rPr>
      </w:pPr>
      <w:r w:rsidRPr="00063667">
        <w:rPr>
          <w:lang w:val="en-GB"/>
        </w:rPr>
        <w:t>5.</w:t>
      </w:r>
      <w:r w:rsidRPr="005F3E9F">
        <w:rPr>
          <w:rFonts w:asciiTheme="minorHAnsi" w:eastAsiaTheme="minorEastAsia" w:hAnsiTheme="minorHAnsi" w:cstheme="minorBidi"/>
          <w:b w:val="0"/>
          <w:bCs w:val="0"/>
          <w:sz w:val="22"/>
          <w:lang w:val="en-GB" w:eastAsia="nl-NL"/>
        </w:rPr>
        <w:tab/>
      </w:r>
      <w:r w:rsidRPr="00063667">
        <w:rPr>
          <w:lang w:val="en-GB"/>
        </w:rPr>
        <w:t>Eligibility criteria</w:t>
      </w:r>
      <w:r>
        <w:tab/>
      </w:r>
      <w:r>
        <w:fldChar w:fldCharType="begin"/>
      </w:r>
      <w:r>
        <w:instrText xml:space="preserve"> PAGEREF _Toc515638341 \h </w:instrText>
      </w:r>
      <w:r>
        <w:fldChar w:fldCharType="separate"/>
      </w:r>
      <w:r>
        <w:t>10</w:t>
      </w:r>
      <w:r>
        <w:fldChar w:fldCharType="end"/>
      </w:r>
    </w:p>
    <w:p w14:paraId="0AF26FF3" w14:textId="25429866" w:rsidR="00893EC6" w:rsidRPr="005F3E9F" w:rsidRDefault="00893EC6">
      <w:pPr>
        <w:pStyle w:val="TOC1"/>
        <w:rPr>
          <w:rFonts w:asciiTheme="minorHAnsi" w:eastAsiaTheme="minorEastAsia" w:hAnsiTheme="minorHAnsi" w:cstheme="minorBidi"/>
          <w:b w:val="0"/>
          <w:bCs w:val="0"/>
          <w:sz w:val="22"/>
          <w:lang w:val="en-GB" w:eastAsia="nl-NL"/>
        </w:rPr>
      </w:pPr>
      <w:r w:rsidRPr="00063667">
        <w:rPr>
          <w:lang w:val="en-GB"/>
        </w:rPr>
        <w:t>6.</w:t>
      </w:r>
      <w:r w:rsidRPr="005F3E9F">
        <w:rPr>
          <w:rFonts w:asciiTheme="minorHAnsi" w:eastAsiaTheme="minorEastAsia" w:hAnsiTheme="minorHAnsi" w:cstheme="minorBidi"/>
          <w:b w:val="0"/>
          <w:bCs w:val="0"/>
          <w:sz w:val="22"/>
          <w:lang w:val="en-GB" w:eastAsia="nl-NL"/>
        </w:rPr>
        <w:tab/>
      </w:r>
      <w:r w:rsidRPr="00063667">
        <w:rPr>
          <w:lang w:val="en-GB"/>
        </w:rPr>
        <w:t>Selection criteria</w:t>
      </w:r>
      <w:r>
        <w:tab/>
      </w:r>
      <w:r>
        <w:fldChar w:fldCharType="begin"/>
      </w:r>
      <w:r>
        <w:instrText xml:space="preserve"> PAGEREF _Toc515638342 \h </w:instrText>
      </w:r>
      <w:r>
        <w:fldChar w:fldCharType="separate"/>
      </w:r>
      <w:r>
        <w:t>11</w:t>
      </w:r>
      <w:r>
        <w:fldChar w:fldCharType="end"/>
      </w:r>
    </w:p>
    <w:p w14:paraId="11BD79BF" w14:textId="3B24E7FD" w:rsidR="00893EC6" w:rsidRPr="005F3E9F" w:rsidRDefault="00893EC6">
      <w:pPr>
        <w:pStyle w:val="TOC1"/>
        <w:rPr>
          <w:rFonts w:asciiTheme="minorHAnsi" w:eastAsiaTheme="minorEastAsia" w:hAnsiTheme="minorHAnsi" w:cstheme="minorBidi"/>
          <w:b w:val="0"/>
          <w:bCs w:val="0"/>
          <w:sz w:val="22"/>
          <w:lang w:val="en-GB" w:eastAsia="nl-NL"/>
        </w:rPr>
      </w:pPr>
      <w:r w:rsidRPr="00063667">
        <w:rPr>
          <w:lang w:val="en-GB"/>
        </w:rPr>
        <w:t>7.</w:t>
      </w:r>
      <w:r w:rsidRPr="005F3E9F">
        <w:rPr>
          <w:rFonts w:asciiTheme="minorHAnsi" w:eastAsiaTheme="minorEastAsia" w:hAnsiTheme="minorHAnsi" w:cstheme="minorBidi"/>
          <w:b w:val="0"/>
          <w:bCs w:val="0"/>
          <w:sz w:val="22"/>
          <w:lang w:val="en-GB" w:eastAsia="nl-NL"/>
        </w:rPr>
        <w:tab/>
      </w:r>
      <w:r w:rsidRPr="00063667">
        <w:rPr>
          <w:lang w:val="en-GB"/>
        </w:rPr>
        <w:t>Funding procedure</w:t>
      </w:r>
      <w:r>
        <w:tab/>
      </w:r>
      <w:r>
        <w:fldChar w:fldCharType="begin"/>
      </w:r>
      <w:r>
        <w:instrText xml:space="preserve"> PAGEREF _Toc515638343 \h </w:instrText>
      </w:r>
      <w:r>
        <w:fldChar w:fldCharType="separate"/>
      </w:r>
      <w:r>
        <w:t>12</w:t>
      </w:r>
      <w:r>
        <w:fldChar w:fldCharType="end"/>
      </w:r>
    </w:p>
    <w:p w14:paraId="2CF45E44" w14:textId="1DA4F600" w:rsidR="00893EC6" w:rsidRPr="005F3E9F" w:rsidRDefault="00893EC6">
      <w:pPr>
        <w:pStyle w:val="TOC2"/>
        <w:rPr>
          <w:rFonts w:asciiTheme="minorHAnsi" w:eastAsiaTheme="minorEastAsia" w:hAnsiTheme="minorHAnsi" w:cstheme="minorBidi"/>
          <w:b w:val="0"/>
          <w:bCs w:val="0"/>
          <w:caps w:val="0"/>
          <w:color w:val="auto"/>
          <w:sz w:val="22"/>
          <w:lang w:val="en-GB" w:eastAsia="nl-NL"/>
        </w:rPr>
      </w:pPr>
      <w:r>
        <w:t>7.1.</w:t>
      </w:r>
      <w:r w:rsidRPr="005F3E9F">
        <w:rPr>
          <w:rFonts w:asciiTheme="minorHAnsi" w:eastAsiaTheme="minorEastAsia" w:hAnsiTheme="minorHAnsi" w:cstheme="minorBidi"/>
          <w:b w:val="0"/>
          <w:bCs w:val="0"/>
          <w:caps w:val="0"/>
          <w:color w:val="auto"/>
          <w:sz w:val="22"/>
          <w:lang w:val="en-GB" w:eastAsia="nl-NL"/>
        </w:rPr>
        <w:tab/>
      </w:r>
      <w:r>
        <w:t>Funding in phases</w:t>
      </w:r>
      <w:r>
        <w:tab/>
      </w:r>
      <w:r>
        <w:fldChar w:fldCharType="begin"/>
      </w:r>
      <w:r>
        <w:instrText xml:space="preserve"> PAGEREF _Toc515638344 \h </w:instrText>
      </w:r>
      <w:r>
        <w:fldChar w:fldCharType="separate"/>
      </w:r>
      <w:r>
        <w:t>12</w:t>
      </w:r>
      <w:r>
        <w:fldChar w:fldCharType="end"/>
      </w:r>
    </w:p>
    <w:p w14:paraId="35D1344A" w14:textId="14EC4880" w:rsidR="00893EC6" w:rsidRPr="005F3E9F" w:rsidRDefault="00893EC6">
      <w:pPr>
        <w:pStyle w:val="TOC1"/>
        <w:rPr>
          <w:rFonts w:asciiTheme="minorHAnsi" w:eastAsiaTheme="minorEastAsia" w:hAnsiTheme="minorHAnsi" w:cstheme="minorBidi"/>
          <w:b w:val="0"/>
          <w:bCs w:val="0"/>
          <w:sz w:val="22"/>
          <w:lang w:val="en-GB" w:eastAsia="nl-NL"/>
        </w:rPr>
      </w:pPr>
      <w:r w:rsidRPr="00063667">
        <w:rPr>
          <w:lang w:val="en-GB"/>
        </w:rPr>
        <w:t>8.</w:t>
      </w:r>
      <w:r w:rsidRPr="005F3E9F">
        <w:rPr>
          <w:rFonts w:asciiTheme="minorHAnsi" w:eastAsiaTheme="minorEastAsia" w:hAnsiTheme="minorHAnsi" w:cstheme="minorBidi"/>
          <w:b w:val="0"/>
          <w:bCs w:val="0"/>
          <w:sz w:val="22"/>
          <w:lang w:val="en-GB" w:eastAsia="nl-NL"/>
        </w:rPr>
        <w:tab/>
      </w:r>
      <w:r>
        <w:t>Annex</w:t>
      </w:r>
      <w:r w:rsidRPr="00063667">
        <w:rPr>
          <w:lang w:val="en-GB"/>
        </w:rPr>
        <w:t xml:space="preserve"> I</w:t>
      </w:r>
      <w:r>
        <w:tab/>
      </w:r>
      <w:r>
        <w:fldChar w:fldCharType="begin"/>
      </w:r>
      <w:r>
        <w:instrText xml:space="preserve"> PAGEREF _Toc515638345 \h </w:instrText>
      </w:r>
      <w:r>
        <w:fldChar w:fldCharType="separate"/>
      </w:r>
      <w:r>
        <w:t>13</w:t>
      </w:r>
      <w:r>
        <w:fldChar w:fldCharType="end"/>
      </w:r>
    </w:p>
    <w:p w14:paraId="35CFCFB4" w14:textId="3117970B" w:rsidR="00893EC6" w:rsidRPr="005F3E9F" w:rsidRDefault="00893EC6">
      <w:pPr>
        <w:pStyle w:val="TOC2"/>
        <w:rPr>
          <w:rFonts w:asciiTheme="minorHAnsi" w:eastAsiaTheme="minorEastAsia" w:hAnsiTheme="minorHAnsi" w:cstheme="minorBidi"/>
          <w:b w:val="0"/>
          <w:bCs w:val="0"/>
          <w:caps w:val="0"/>
          <w:color w:val="auto"/>
          <w:sz w:val="22"/>
          <w:lang w:val="en-GB" w:eastAsia="nl-NL"/>
        </w:rPr>
      </w:pPr>
      <w:r>
        <w:t>8.1.</w:t>
      </w:r>
      <w:r w:rsidRPr="005F3E9F">
        <w:rPr>
          <w:rFonts w:asciiTheme="minorHAnsi" w:eastAsiaTheme="minorEastAsia" w:hAnsiTheme="minorHAnsi" w:cstheme="minorBidi"/>
          <w:b w:val="0"/>
          <w:bCs w:val="0"/>
          <w:caps w:val="0"/>
          <w:color w:val="auto"/>
          <w:sz w:val="22"/>
          <w:lang w:val="en-GB" w:eastAsia="nl-NL"/>
        </w:rPr>
        <w:tab/>
      </w:r>
      <w:r w:rsidRPr="00063667">
        <w:rPr>
          <w:lang w:val="en-GB"/>
        </w:rPr>
        <w:t>Quick scan for new technologies in IoF2020</w:t>
      </w:r>
      <w:r>
        <w:tab/>
      </w:r>
      <w:r>
        <w:fldChar w:fldCharType="begin"/>
      </w:r>
      <w:r>
        <w:instrText xml:space="preserve"> PAGEREF _Toc515638346 \h </w:instrText>
      </w:r>
      <w:r>
        <w:fldChar w:fldCharType="separate"/>
      </w:r>
      <w:r>
        <w:t>13</w:t>
      </w:r>
      <w:r>
        <w:fldChar w:fldCharType="end"/>
      </w:r>
    </w:p>
    <w:p w14:paraId="005FF78C" w14:textId="5342264C" w:rsidR="00893EC6" w:rsidRPr="005F3E9F" w:rsidRDefault="00893EC6">
      <w:pPr>
        <w:pStyle w:val="TOC2"/>
        <w:rPr>
          <w:rFonts w:asciiTheme="minorHAnsi" w:eastAsiaTheme="minorEastAsia" w:hAnsiTheme="minorHAnsi" w:cstheme="minorBidi"/>
          <w:b w:val="0"/>
          <w:bCs w:val="0"/>
          <w:caps w:val="0"/>
          <w:color w:val="auto"/>
          <w:sz w:val="22"/>
          <w:lang w:val="en-GB" w:eastAsia="nl-NL"/>
        </w:rPr>
      </w:pPr>
      <w:r>
        <w:t>8.2.</w:t>
      </w:r>
      <w:r w:rsidRPr="005F3E9F">
        <w:rPr>
          <w:rFonts w:asciiTheme="minorHAnsi" w:eastAsiaTheme="minorEastAsia" w:hAnsiTheme="minorHAnsi" w:cstheme="minorBidi"/>
          <w:b w:val="0"/>
          <w:bCs w:val="0"/>
          <w:caps w:val="0"/>
          <w:color w:val="auto"/>
          <w:sz w:val="22"/>
          <w:lang w:val="en-GB" w:eastAsia="nl-NL"/>
        </w:rPr>
        <w:tab/>
      </w:r>
      <w:r>
        <w:t>Main Characteristics of the current IoF2020 Use Cases</w:t>
      </w:r>
      <w:r>
        <w:tab/>
      </w:r>
      <w:r>
        <w:fldChar w:fldCharType="begin"/>
      </w:r>
      <w:r>
        <w:instrText xml:space="preserve"> PAGEREF _Toc515638347 \h </w:instrText>
      </w:r>
      <w:r>
        <w:fldChar w:fldCharType="separate"/>
      </w:r>
      <w:r>
        <w:t>15</w:t>
      </w:r>
      <w:r>
        <w:fldChar w:fldCharType="end"/>
      </w:r>
    </w:p>
    <w:p w14:paraId="7CA87073" w14:textId="42A40298" w:rsidR="00893EC6" w:rsidRDefault="00893EC6">
      <w:pPr>
        <w:pStyle w:val="TOC1"/>
        <w:rPr>
          <w:rFonts w:asciiTheme="minorHAnsi" w:eastAsiaTheme="minorEastAsia" w:hAnsiTheme="minorHAnsi" w:cstheme="minorBidi"/>
          <w:b w:val="0"/>
          <w:bCs w:val="0"/>
          <w:sz w:val="22"/>
          <w:lang w:val="nl-NL" w:eastAsia="nl-NL"/>
        </w:rPr>
      </w:pPr>
      <w:r w:rsidRPr="00063667">
        <w:rPr>
          <w:lang w:val="en-GB"/>
        </w:rPr>
        <w:t>9.</w:t>
      </w:r>
      <w:r>
        <w:rPr>
          <w:rFonts w:asciiTheme="minorHAnsi" w:eastAsiaTheme="minorEastAsia" w:hAnsiTheme="minorHAnsi" w:cstheme="minorBidi"/>
          <w:b w:val="0"/>
          <w:bCs w:val="0"/>
          <w:sz w:val="22"/>
          <w:lang w:val="nl-NL" w:eastAsia="nl-NL"/>
        </w:rPr>
        <w:tab/>
      </w:r>
      <w:r>
        <w:t>Annex</w:t>
      </w:r>
      <w:r w:rsidRPr="00063667">
        <w:rPr>
          <w:lang w:val="en-GB"/>
        </w:rPr>
        <w:t xml:space="preserve"> II – Selection Criteria</w:t>
      </w:r>
      <w:r>
        <w:tab/>
      </w:r>
      <w:r>
        <w:fldChar w:fldCharType="begin"/>
      </w:r>
      <w:r>
        <w:instrText xml:space="preserve"> PAGEREF _Toc515638348 \h </w:instrText>
      </w:r>
      <w:r>
        <w:fldChar w:fldCharType="separate"/>
      </w:r>
      <w:r>
        <w:t>23</w:t>
      </w:r>
      <w:r>
        <w:fldChar w:fldCharType="end"/>
      </w:r>
    </w:p>
    <w:p w14:paraId="0EDF92D2" w14:textId="00E266A4" w:rsidR="00DB6426" w:rsidRPr="008B0CE2" w:rsidRDefault="00DB6426" w:rsidP="00B64CD9">
      <w:pPr>
        <w:rPr>
          <w:rFonts w:eastAsiaTheme="majorEastAsia"/>
          <w:b/>
          <w:caps/>
          <w:kern w:val="28"/>
          <w:sz w:val="36"/>
          <w:szCs w:val="36"/>
          <w:lang w:val="en-GB"/>
        </w:rPr>
      </w:pPr>
      <w:r w:rsidRPr="008B0CE2">
        <w:rPr>
          <w:lang w:val="en-GB"/>
        </w:rPr>
        <w:fldChar w:fldCharType="end"/>
      </w:r>
      <w:r w:rsidRPr="008B0CE2">
        <w:rPr>
          <w:lang w:val="en-GB"/>
        </w:rPr>
        <w:br w:type="page"/>
      </w:r>
    </w:p>
    <w:p w14:paraId="32103ADC" w14:textId="77777777" w:rsidR="00735557" w:rsidRPr="008B0CE2" w:rsidRDefault="440E69A3" w:rsidP="440E69A3">
      <w:pPr>
        <w:pStyle w:val="Heading1"/>
        <w:rPr>
          <w:lang w:val="en-GB"/>
        </w:rPr>
      </w:pPr>
      <w:bookmarkStart w:id="1" w:name="_Ref512005205"/>
      <w:bookmarkStart w:id="2" w:name="_Toc515638334"/>
      <w:r w:rsidRPr="440E69A3">
        <w:rPr>
          <w:lang w:val="en-GB"/>
        </w:rPr>
        <w:lastRenderedPageBreak/>
        <w:t>Overview of the IOF2020 Open Call</w:t>
      </w:r>
      <w:bookmarkEnd w:id="1"/>
      <w:bookmarkEnd w:id="2"/>
    </w:p>
    <w:p w14:paraId="33AEE915" w14:textId="77777777" w:rsidR="00BD2798" w:rsidRPr="00BD2798" w:rsidRDefault="440E69A3" w:rsidP="440E69A3">
      <w:pPr>
        <w:rPr>
          <w:lang w:val="en-GB"/>
        </w:rPr>
      </w:pPr>
      <w:r w:rsidRPr="440E69A3">
        <w:rPr>
          <w:lang w:val="en-GB"/>
        </w:rPr>
        <w:t>The internet of things (IoT) has a revolutionary potential. A smart web of sensors, actuators, cameras, robots, drones and other connected devices allows for an unprecedented level of control and automated decision-making. The project Internet of Food &amp; Farm 2020 (IoF2020) explores the potential of IoT-technologies for the European food and farming industry.</w:t>
      </w:r>
    </w:p>
    <w:p w14:paraId="58309854" w14:textId="77777777" w:rsidR="00BD2798" w:rsidRPr="00BD2798" w:rsidRDefault="440E69A3" w:rsidP="440E69A3">
      <w:pPr>
        <w:rPr>
          <w:lang w:val="en-GB"/>
        </w:rPr>
      </w:pPr>
      <w:r w:rsidRPr="440E69A3">
        <w:rPr>
          <w:lang w:val="en-GB"/>
        </w:rPr>
        <w:t xml:space="preserve">The goal is ambitious: to make precision farming a reality and to take a vital step towards a more sustainable food value chain. With the help of IoT technologies higher yields and better-quality produce are within reach. Pesticide and fertilizer use will drop or phased out and overall efficiency is optimized. IoT technologies also enable better traceability of food, leading to increased food safety. </w:t>
      </w:r>
    </w:p>
    <w:p w14:paraId="5B50B637" w14:textId="77777777" w:rsidR="00BD2798" w:rsidRPr="00BD2798" w:rsidRDefault="440E69A3" w:rsidP="440E69A3">
      <w:pPr>
        <w:rPr>
          <w:lang w:val="en-GB"/>
        </w:rPr>
      </w:pPr>
      <w:r w:rsidRPr="440E69A3">
        <w:rPr>
          <w:lang w:val="en-GB"/>
        </w:rPr>
        <w:t xml:space="preserve">Nineteen use-cases organised around five trials (arable, dairy, fruits, meat and vegetables) develop, test and demonstrate IoT technologies in an operational environment in Europe, benefiting both conventional and organic agri-food chains, with the first results expected in the first quarter of 2018. </w:t>
      </w:r>
    </w:p>
    <w:p w14:paraId="426B44CE" w14:textId="77777777" w:rsidR="001C7AFC" w:rsidRDefault="440E69A3" w:rsidP="440E69A3">
      <w:pPr>
        <w:rPr>
          <w:lang w:val="en-GB"/>
        </w:rPr>
      </w:pPr>
      <w:r w:rsidRPr="440E69A3">
        <w:rPr>
          <w:lang w:val="en-GB"/>
        </w:rPr>
        <w:t>IoF2020 uses a multi-actor approach focusing on user acceptability, stakeholder engagement and the development of sustainable business models. IoF2020 aims to increase the economic viability and market share of developed technologies, while bringing end-users’ and farmers’ adoption of these technological solutions to the next stage. The aim of IoF2020 is to build a lasting innovation ecosystem that fosters the uptake of IoT technologies. Therefore, key stakeholders along the food value chain are involved in IoF2020, together with technology service providers, software companies and academic research institutions.</w:t>
      </w:r>
    </w:p>
    <w:p w14:paraId="283B7119" w14:textId="77777777" w:rsidR="00223D4D" w:rsidRDefault="008D3BFB" w:rsidP="440E69A3">
      <w:pPr>
        <w:rPr>
          <w:lang w:val="en-GB"/>
        </w:rPr>
      </w:pPr>
      <w:r>
        <w:rPr>
          <w:lang w:val="en-GB"/>
        </w:rPr>
        <w:t xml:space="preserve">The current </w:t>
      </w:r>
      <w:r w:rsidR="440E69A3" w:rsidRPr="440E69A3">
        <w:rPr>
          <w:lang w:val="en-GB"/>
        </w:rPr>
        <w:t xml:space="preserve">19 use cases are a good starting point, but still </w:t>
      </w:r>
      <w:r>
        <w:rPr>
          <w:lang w:val="en-GB"/>
        </w:rPr>
        <w:t xml:space="preserve">just </w:t>
      </w:r>
      <w:r w:rsidR="440E69A3" w:rsidRPr="440E69A3">
        <w:rPr>
          <w:lang w:val="en-GB"/>
        </w:rPr>
        <w:t xml:space="preserve">a beginning. Therefore, IoF2020 is preparing an open call that will allow us to ask new teams to join our journey within the Internet of Food and Farm to </w:t>
      </w:r>
      <w:r w:rsidR="440E69A3" w:rsidRPr="440E69A3">
        <w:rPr>
          <w:b/>
          <w:bCs/>
          <w:lang w:val="en-GB"/>
        </w:rPr>
        <w:t>enlarge the IoF2020 ecosystem and create more impact in the European food and farming sector</w:t>
      </w:r>
      <w:r w:rsidR="440E69A3" w:rsidRPr="440E69A3">
        <w:rPr>
          <w:lang w:val="en-GB"/>
        </w:rPr>
        <w:t>.</w:t>
      </w:r>
    </w:p>
    <w:p w14:paraId="0B6E92E5" w14:textId="77777777" w:rsidR="00223D4D" w:rsidRDefault="440E69A3" w:rsidP="440E69A3">
      <w:pPr>
        <w:rPr>
          <w:lang w:val="en-GB"/>
        </w:rPr>
      </w:pPr>
      <w:r w:rsidRPr="440E69A3">
        <w:rPr>
          <w:lang w:val="en-GB"/>
        </w:rPr>
        <w:t xml:space="preserve">This document presents the IoF2020 open call, detailing the request for proposals as well as explaining the underlying procedure for selecting the most appropriate ones. </w:t>
      </w:r>
    </w:p>
    <w:p w14:paraId="2C060142" w14:textId="21371390" w:rsidR="00223D4D" w:rsidRDefault="00223D4D" w:rsidP="440E69A3">
      <w:pPr>
        <w:rPr>
          <w:lang w:val="en-GB"/>
        </w:rPr>
      </w:pPr>
      <w:r>
        <w:rPr>
          <w:lang w:val="en-GB"/>
        </w:rPr>
        <w:t xml:space="preserve">Chapter </w:t>
      </w:r>
      <w:r w:rsidR="008D3BFB">
        <w:rPr>
          <w:lang w:val="en-GB"/>
        </w:rPr>
        <w:fldChar w:fldCharType="begin"/>
      </w:r>
      <w:r w:rsidR="008D3BFB">
        <w:rPr>
          <w:lang w:val="en-GB"/>
        </w:rPr>
        <w:instrText xml:space="preserve"> REF _Ref511382562 \r \h </w:instrText>
      </w:r>
      <w:r w:rsidR="008D3BFB">
        <w:rPr>
          <w:lang w:val="en-GB"/>
        </w:rPr>
      </w:r>
      <w:r w:rsidR="008D3BFB">
        <w:rPr>
          <w:lang w:val="en-GB"/>
        </w:rPr>
        <w:fldChar w:fldCharType="separate"/>
      </w:r>
      <w:r w:rsidR="00AD0CE7">
        <w:rPr>
          <w:lang w:val="en-GB"/>
        </w:rPr>
        <w:t>2</w:t>
      </w:r>
      <w:r w:rsidR="008D3BFB">
        <w:rPr>
          <w:lang w:val="en-GB"/>
        </w:rPr>
        <w:fldChar w:fldCharType="end"/>
      </w:r>
      <w:r w:rsidR="008D3BFB">
        <w:rPr>
          <w:lang w:val="en-GB"/>
        </w:rPr>
        <w:t xml:space="preserve"> </w:t>
      </w:r>
      <w:r>
        <w:rPr>
          <w:lang w:val="en-GB"/>
        </w:rPr>
        <w:t xml:space="preserve">is presenting the current 19 use cases of the IoF2020 project, detailing the application areas and IoT technologies </w:t>
      </w:r>
      <w:r w:rsidR="008D3BFB">
        <w:rPr>
          <w:lang w:val="en-GB"/>
        </w:rPr>
        <w:t xml:space="preserve">being </w:t>
      </w:r>
      <w:r>
        <w:rPr>
          <w:lang w:val="en-GB"/>
        </w:rPr>
        <w:t xml:space="preserve">deployed. Chapter </w:t>
      </w:r>
      <w:r w:rsidRPr="440E69A3">
        <w:fldChar w:fldCharType="begin"/>
      </w:r>
      <w:r>
        <w:rPr>
          <w:lang w:val="en-GB"/>
        </w:rPr>
        <w:instrText xml:space="preserve"> REF _Ref507164855 \r \h </w:instrText>
      </w:r>
      <w:r w:rsidRPr="440E69A3">
        <w:rPr>
          <w:lang w:val="en-GB"/>
        </w:rPr>
        <w:fldChar w:fldCharType="separate"/>
      </w:r>
      <w:r w:rsidR="00AD0CE7">
        <w:rPr>
          <w:lang w:val="en-GB"/>
        </w:rPr>
        <w:t>3</w:t>
      </w:r>
      <w:r w:rsidRPr="440E69A3">
        <w:fldChar w:fldCharType="end"/>
      </w:r>
      <w:r>
        <w:rPr>
          <w:lang w:val="en-GB"/>
        </w:rPr>
        <w:t xml:space="preserve"> is describing the </w:t>
      </w:r>
      <w:r w:rsidR="008D3BFB">
        <w:rPr>
          <w:lang w:val="en-GB"/>
        </w:rPr>
        <w:t xml:space="preserve">objective of the </w:t>
      </w:r>
      <w:r>
        <w:rPr>
          <w:lang w:val="en-GB"/>
        </w:rPr>
        <w:t>IoF2020 open call</w:t>
      </w:r>
      <w:r w:rsidR="008D3BFB">
        <w:rPr>
          <w:lang w:val="en-GB"/>
        </w:rPr>
        <w:t>,</w:t>
      </w:r>
      <w:r>
        <w:rPr>
          <w:lang w:val="en-GB"/>
        </w:rPr>
        <w:t xml:space="preserve"> detailing specific challenges that shall be addressed by the proposals to be submitted. Chapter </w:t>
      </w:r>
      <w:r w:rsidR="008D3BFB">
        <w:rPr>
          <w:lang w:val="en-GB"/>
        </w:rPr>
        <w:fldChar w:fldCharType="begin"/>
      </w:r>
      <w:r w:rsidR="008D3BFB">
        <w:rPr>
          <w:lang w:val="en-GB"/>
        </w:rPr>
        <w:instrText xml:space="preserve"> REF _Ref511382660 \r \h </w:instrText>
      </w:r>
      <w:r w:rsidR="008D3BFB">
        <w:rPr>
          <w:lang w:val="en-GB"/>
        </w:rPr>
      </w:r>
      <w:r w:rsidR="008D3BFB">
        <w:rPr>
          <w:lang w:val="en-GB"/>
        </w:rPr>
        <w:fldChar w:fldCharType="separate"/>
      </w:r>
      <w:r w:rsidR="00AD0CE7">
        <w:rPr>
          <w:lang w:val="en-GB"/>
        </w:rPr>
        <w:t>4</w:t>
      </w:r>
      <w:r w:rsidR="008D3BFB">
        <w:rPr>
          <w:lang w:val="en-GB"/>
        </w:rPr>
        <w:fldChar w:fldCharType="end"/>
      </w:r>
      <w:r w:rsidR="008D3BFB">
        <w:rPr>
          <w:lang w:val="en-GB"/>
        </w:rPr>
        <w:t xml:space="preserve"> </w:t>
      </w:r>
      <w:r>
        <w:rPr>
          <w:lang w:val="en-GB"/>
        </w:rPr>
        <w:t xml:space="preserve">is detailing the available budget and underlying schedule for proposal submission, evaluation and selection of the most appropriate ones. The chapters </w:t>
      </w:r>
      <w:r w:rsidR="008D3BFB">
        <w:rPr>
          <w:lang w:val="en-GB"/>
        </w:rPr>
        <w:fldChar w:fldCharType="begin"/>
      </w:r>
      <w:r w:rsidR="008D3BFB">
        <w:rPr>
          <w:lang w:val="en-GB"/>
        </w:rPr>
        <w:instrText xml:space="preserve"> REF _Ref511382697 \r \h </w:instrText>
      </w:r>
      <w:r w:rsidR="008D3BFB">
        <w:rPr>
          <w:lang w:val="en-GB"/>
        </w:rPr>
      </w:r>
      <w:r w:rsidR="008D3BFB">
        <w:rPr>
          <w:lang w:val="en-GB"/>
        </w:rPr>
        <w:fldChar w:fldCharType="separate"/>
      </w:r>
      <w:r w:rsidR="00AD0CE7">
        <w:rPr>
          <w:lang w:val="en-GB"/>
        </w:rPr>
        <w:t>5</w:t>
      </w:r>
      <w:r w:rsidR="008D3BFB">
        <w:rPr>
          <w:lang w:val="en-GB"/>
        </w:rPr>
        <w:fldChar w:fldCharType="end"/>
      </w:r>
      <w:r w:rsidR="008D3BFB">
        <w:rPr>
          <w:lang w:val="en-GB"/>
        </w:rPr>
        <w:t xml:space="preserve"> </w:t>
      </w:r>
      <w:r>
        <w:rPr>
          <w:lang w:val="en-GB"/>
        </w:rPr>
        <w:t xml:space="preserve">and </w:t>
      </w:r>
      <w:r w:rsidR="008D3BFB">
        <w:rPr>
          <w:lang w:val="en-GB"/>
        </w:rPr>
        <w:fldChar w:fldCharType="begin"/>
      </w:r>
      <w:r w:rsidR="008D3BFB">
        <w:rPr>
          <w:lang w:val="en-GB"/>
        </w:rPr>
        <w:instrText xml:space="preserve"> REF _Ref511382707 \r \h </w:instrText>
      </w:r>
      <w:r w:rsidR="008D3BFB">
        <w:rPr>
          <w:lang w:val="en-GB"/>
        </w:rPr>
      </w:r>
      <w:r w:rsidR="008D3BFB">
        <w:rPr>
          <w:lang w:val="en-GB"/>
        </w:rPr>
        <w:fldChar w:fldCharType="separate"/>
      </w:r>
      <w:r w:rsidR="00AD0CE7">
        <w:rPr>
          <w:lang w:val="en-GB"/>
        </w:rPr>
        <w:t>6</w:t>
      </w:r>
      <w:r w:rsidR="008D3BFB">
        <w:rPr>
          <w:lang w:val="en-GB"/>
        </w:rPr>
        <w:fldChar w:fldCharType="end"/>
      </w:r>
      <w:r w:rsidR="008D3BFB">
        <w:rPr>
          <w:lang w:val="en-GB"/>
        </w:rPr>
        <w:t xml:space="preserve"> </w:t>
      </w:r>
      <w:r>
        <w:rPr>
          <w:lang w:val="en-GB"/>
        </w:rPr>
        <w:t xml:space="preserve">are explaining the eligibility and selection criteria that will be used for evaluating the submitted proposals. Those criteria shall also help the proposers to understand of what is considered relevant for achieving a high impact and assuring subsequent uptake of the proposed undertakings. Chapter </w:t>
      </w:r>
      <w:r w:rsidR="008D3BFB">
        <w:rPr>
          <w:lang w:val="en-GB"/>
        </w:rPr>
        <w:fldChar w:fldCharType="begin"/>
      </w:r>
      <w:r w:rsidR="008D3BFB">
        <w:rPr>
          <w:lang w:val="en-GB"/>
        </w:rPr>
        <w:instrText xml:space="preserve"> REF _Ref511382735 \r \h </w:instrText>
      </w:r>
      <w:r w:rsidR="008D3BFB">
        <w:rPr>
          <w:lang w:val="en-GB"/>
        </w:rPr>
      </w:r>
      <w:r w:rsidR="008D3BFB">
        <w:rPr>
          <w:lang w:val="en-GB"/>
        </w:rPr>
        <w:fldChar w:fldCharType="separate"/>
      </w:r>
      <w:r w:rsidR="00AD0CE7">
        <w:rPr>
          <w:lang w:val="en-GB"/>
        </w:rPr>
        <w:t>7</w:t>
      </w:r>
      <w:r w:rsidR="008D3BFB">
        <w:rPr>
          <w:lang w:val="en-GB"/>
        </w:rPr>
        <w:fldChar w:fldCharType="end"/>
      </w:r>
      <w:r w:rsidR="008D3BFB">
        <w:rPr>
          <w:lang w:val="en-GB"/>
        </w:rPr>
        <w:t xml:space="preserve"> </w:t>
      </w:r>
      <w:r>
        <w:rPr>
          <w:lang w:val="en-GB"/>
        </w:rPr>
        <w:t>finally outline</w:t>
      </w:r>
      <w:r w:rsidR="008D3BFB">
        <w:rPr>
          <w:lang w:val="en-GB"/>
        </w:rPr>
        <w:t>s</w:t>
      </w:r>
      <w:r>
        <w:rPr>
          <w:lang w:val="en-GB"/>
        </w:rPr>
        <w:t xml:space="preserve"> the funding procedure. Teams submitting a proposal shall reflect </w:t>
      </w:r>
      <w:r w:rsidRPr="00A11B86">
        <w:rPr>
          <w:lang w:val="en-GB"/>
        </w:rPr>
        <w:t>this</w:t>
      </w:r>
      <w:r>
        <w:rPr>
          <w:lang w:val="en-GB"/>
        </w:rPr>
        <w:t xml:space="preserve"> in their overall work plan to facilitate their interaction with the overall IoF2020 team.</w:t>
      </w:r>
    </w:p>
    <w:p w14:paraId="7D6AFEF0" w14:textId="77777777" w:rsidR="003F76E7" w:rsidRDefault="003F76E7">
      <w:pPr>
        <w:spacing w:before="0" w:after="0"/>
        <w:rPr>
          <w:lang w:val="en-GB"/>
        </w:rPr>
      </w:pPr>
      <w:r>
        <w:rPr>
          <w:lang w:val="en-GB"/>
        </w:rPr>
        <w:br w:type="page"/>
      </w:r>
    </w:p>
    <w:p w14:paraId="0CC345B6" w14:textId="77777777" w:rsidR="0017315D" w:rsidRDefault="440E69A3" w:rsidP="440E69A3">
      <w:pPr>
        <w:pStyle w:val="Heading1"/>
        <w:rPr>
          <w:lang w:val="en-GB"/>
        </w:rPr>
      </w:pPr>
      <w:bookmarkStart w:id="3" w:name="_Ref511382562"/>
      <w:bookmarkStart w:id="4" w:name="_Toc515638335"/>
      <w:bookmarkStart w:id="5" w:name="_Toc497149345"/>
      <w:r w:rsidRPr="440E69A3">
        <w:rPr>
          <w:lang w:val="en-GB"/>
        </w:rPr>
        <w:lastRenderedPageBreak/>
        <w:t>The current IoF2020 Use Cases and Stakeholders</w:t>
      </w:r>
      <w:bookmarkEnd w:id="3"/>
      <w:bookmarkEnd w:id="4"/>
    </w:p>
    <w:p w14:paraId="3A5608CC" w14:textId="77777777" w:rsidR="008264C4" w:rsidRDefault="440E69A3" w:rsidP="440E69A3">
      <w:pPr>
        <w:rPr>
          <w:lang w:val="en-GB"/>
        </w:rPr>
      </w:pPr>
      <w:r w:rsidRPr="440E69A3">
        <w:rPr>
          <w:lang w:val="en-GB"/>
        </w:rPr>
        <w:t xml:space="preserve">This chapter describes the current IoF2020 project and the 19 use cases that are realised. </w:t>
      </w:r>
    </w:p>
    <w:p w14:paraId="119C3DFF" w14:textId="77777777" w:rsidR="00917894" w:rsidRPr="00917894" w:rsidRDefault="440E69A3" w:rsidP="440E69A3">
      <w:pPr>
        <w:spacing w:after="0"/>
        <w:rPr>
          <w:lang w:val="en-GB"/>
        </w:rPr>
      </w:pPr>
      <w:r w:rsidRPr="440E69A3">
        <w:rPr>
          <w:lang w:val="en-GB"/>
        </w:rPr>
        <w:t>The goal of Internet of Food &amp; Farm 2020 (IoF2020) is to make precision farming a reality and to take a crucial step towards a more sustainable and transparent food supply chain. With the help of Internet of Things (IoT)-technologies, farmers of the future are expected to produce higher yields and better-quality food products, with less use of pesticides, fertilizer, and water. Furthermore, IoT technologies also enable better traceability of food, leading to increased food safety.</w:t>
      </w:r>
    </w:p>
    <w:p w14:paraId="320328D8" w14:textId="77777777" w:rsidR="00917894" w:rsidRPr="00917894" w:rsidRDefault="440E69A3" w:rsidP="440E69A3">
      <w:pPr>
        <w:spacing w:after="0"/>
        <w:rPr>
          <w:lang w:val="en-GB"/>
        </w:rPr>
      </w:pPr>
      <w:r w:rsidRPr="440E69A3">
        <w:rPr>
          <w:lang w:val="en-GB"/>
        </w:rPr>
        <w:t>In 2017, the IoF2020</w:t>
      </w:r>
      <w:r w:rsidR="00D057EA">
        <w:rPr>
          <w:lang w:val="en-GB"/>
        </w:rPr>
        <w:t xml:space="preserve"> </w:t>
      </w:r>
      <w:r w:rsidRPr="440E69A3">
        <w:rPr>
          <w:lang w:val="en-GB"/>
        </w:rPr>
        <w:t>project has established an initial community with diverse European stakeholders, developing innovative IoT-based solutions for the European food and farming industry. Nineteen use-cases organised around five trials (arable, dairy, fruits, meat and vegetables) develop, test and demonstrate IoT technologies in an operational environment in Europe, benefiting both conventional and organic agri-food chains.</w:t>
      </w:r>
    </w:p>
    <w:p w14:paraId="3E42ABB4" w14:textId="77777777" w:rsidR="008264C4" w:rsidRDefault="440E69A3" w:rsidP="008264C4">
      <w:pPr>
        <w:pStyle w:val="Heading2"/>
      </w:pPr>
      <w:bookmarkStart w:id="6" w:name="_Toc515638336"/>
      <w:r>
        <w:t>IoF 2020 Use Cases – grouped in 5 Trial Areas</w:t>
      </w:r>
      <w:bookmarkEnd w:id="6"/>
    </w:p>
    <w:p w14:paraId="1EC1EBF0" w14:textId="0CFFC9B5" w:rsidR="00CD7931" w:rsidRDefault="00D057EA" w:rsidP="440E69A3">
      <w:pPr>
        <w:rPr>
          <w:lang w:val="en-GB"/>
        </w:rPr>
      </w:pPr>
      <w:r>
        <w:rPr>
          <w:lang w:val="en-GB"/>
        </w:rPr>
        <w:fldChar w:fldCharType="begin"/>
      </w:r>
      <w:r>
        <w:rPr>
          <w:lang w:val="en-GB"/>
        </w:rPr>
        <w:instrText xml:space="preserve"> REF _Ref503772438 \h </w:instrText>
      </w:r>
      <w:r>
        <w:rPr>
          <w:lang w:val="en-GB"/>
        </w:rPr>
      </w:r>
      <w:r>
        <w:rPr>
          <w:lang w:val="en-GB"/>
        </w:rPr>
        <w:fldChar w:fldCharType="separate"/>
      </w:r>
      <w:r w:rsidR="00AD0CE7" w:rsidRPr="007D72AB">
        <w:rPr>
          <w:lang w:val="en-GB"/>
        </w:rPr>
        <w:t xml:space="preserve">Figure </w:t>
      </w:r>
      <w:r w:rsidR="00AD0CE7">
        <w:rPr>
          <w:noProof/>
          <w:lang w:val="en-GB"/>
        </w:rPr>
        <w:t>1</w:t>
      </w:r>
      <w:r>
        <w:rPr>
          <w:lang w:val="en-GB"/>
        </w:rPr>
        <w:fldChar w:fldCharType="end"/>
      </w:r>
      <w:r w:rsidR="004A5BAE" w:rsidRPr="004A5BAE">
        <w:rPr>
          <w:lang w:val="en-GB"/>
        </w:rPr>
        <w:t xml:space="preserve"> presents the geographical distribution of the IoF2020 use cases, while they are grouped by subsectors in so</w:t>
      </w:r>
      <w:r>
        <w:rPr>
          <w:lang w:val="en-GB"/>
        </w:rPr>
        <w:t>-</w:t>
      </w:r>
      <w:r w:rsidR="004A5BAE" w:rsidRPr="004A5BAE">
        <w:rPr>
          <w:lang w:val="en-GB"/>
        </w:rPr>
        <w:t xml:space="preserve">called “trials”. As several use cases are realised in different sites, </w:t>
      </w:r>
      <w:r>
        <w:rPr>
          <w:lang w:val="en-GB"/>
        </w:rPr>
        <w:fldChar w:fldCharType="begin"/>
      </w:r>
      <w:r>
        <w:rPr>
          <w:lang w:val="en-GB"/>
        </w:rPr>
        <w:instrText xml:space="preserve"> REF _Ref503772438 \h </w:instrText>
      </w:r>
      <w:r>
        <w:rPr>
          <w:lang w:val="en-GB"/>
        </w:rPr>
      </w:r>
      <w:r>
        <w:rPr>
          <w:lang w:val="en-GB"/>
        </w:rPr>
        <w:fldChar w:fldCharType="separate"/>
      </w:r>
      <w:r w:rsidR="00AD0CE7" w:rsidRPr="007D72AB">
        <w:rPr>
          <w:lang w:val="en-GB"/>
        </w:rPr>
        <w:t xml:space="preserve">Figure </w:t>
      </w:r>
      <w:r w:rsidR="00AD0CE7">
        <w:rPr>
          <w:noProof/>
          <w:lang w:val="en-GB"/>
        </w:rPr>
        <w:t>1</w:t>
      </w:r>
      <w:r>
        <w:rPr>
          <w:lang w:val="en-GB"/>
        </w:rPr>
        <w:fldChar w:fldCharType="end"/>
      </w:r>
      <w:r w:rsidR="004A5BAE" w:rsidRPr="004A5BAE">
        <w:rPr>
          <w:lang w:val="en-GB"/>
        </w:rPr>
        <w:t xml:space="preserve"> shows the spread over 28 sites in different European regions. </w:t>
      </w:r>
      <w:r w:rsidR="007D72AB" w:rsidRPr="007D72AB">
        <w:rPr>
          <w:lang w:val="en-GB"/>
        </w:rPr>
        <w:t xml:space="preserve"> </w:t>
      </w:r>
      <w:r w:rsidR="00CD7931">
        <w:rPr>
          <w:lang w:val="en-GB"/>
        </w:rPr>
        <w:t>Table 1 in Annex 1 gives a more accurate overview of countries involved.</w:t>
      </w:r>
    </w:p>
    <w:p w14:paraId="10851DF9" w14:textId="77777777" w:rsidR="0017315D" w:rsidRDefault="00B020D8" w:rsidP="440E69A3">
      <w:pPr>
        <w:rPr>
          <w:lang w:val="en-GB"/>
        </w:rPr>
      </w:pPr>
      <w:r w:rsidRPr="00B020D8">
        <w:rPr>
          <w:noProof/>
          <w:lang w:eastAsia="nl-NL"/>
        </w:rPr>
        <w:drawing>
          <wp:inline distT="0" distB="0" distL="0" distR="0">
            <wp:extent cx="4953361" cy="3218901"/>
            <wp:effectExtent l="0" t="0" r="0" b="635"/>
            <wp:docPr id="1" name="Picture 1" descr="C:\Users\bondt002\AppData\Local\Microsoft\Windows\Temporary Internet Files\Content.Outlook\P5UUYIX5\map-europe_UC_IOF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dt002\AppData\Local\Microsoft\Windows\Temporary Internet Files\Content.Outlook\P5UUYIX5\map-europe_UC_IOF20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2836" cy="3238055"/>
                    </a:xfrm>
                    <a:prstGeom prst="rect">
                      <a:avLst/>
                    </a:prstGeom>
                    <a:noFill/>
                    <a:ln>
                      <a:noFill/>
                    </a:ln>
                  </pic:spPr>
                </pic:pic>
              </a:graphicData>
            </a:graphic>
          </wp:inline>
        </w:drawing>
      </w:r>
    </w:p>
    <w:p w14:paraId="5DDB8D61" w14:textId="52FE4F6E" w:rsidR="007215F2" w:rsidRDefault="007D72AB" w:rsidP="440E69A3">
      <w:pPr>
        <w:pStyle w:val="Caption"/>
        <w:rPr>
          <w:lang w:val="en-GB"/>
        </w:rPr>
      </w:pPr>
      <w:bookmarkStart w:id="7" w:name="_Ref503772438"/>
      <w:r w:rsidRPr="007D72AB">
        <w:rPr>
          <w:lang w:val="en-GB"/>
        </w:rPr>
        <w:t xml:space="preserve">Figure </w:t>
      </w:r>
      <w:r>
        <w:fldChar w:fldCharType="begin"/>
      </w:r>
      <w:r w:rsidRPr="007D72AB">
        <w:rPr>
          <w:lang w:val="en-GB"/>
        </w:rPr>
        <w:instrText xml:space="preserve"> SEQ Figure \* ARABIC </w:instrText>
      </w:r>
      <w:r>
        <w:fldChar w:fldCharType="separate"/>
      </w:r>
      <w:r w:rsidR="00AD0CE7">
        <w:rPr>
          <w:noProof/>
          <w:lang w:val="en-GB"/>
        </w:rPr>
        <w:t>1</w:t>
      </w:r>
      <w:r>
        <w:fldChar w:fldCharType="end"/>
      </w:r>
      <w:bookmarkEnd w:id="7"/>
      <w:r w:rsidR="005C5925" w:rsidRPr="005C5925">
        <w:rPr>
          <w:lang w:val="en-GB"/>
        </w:rPr>
        <w:t>:</w:t>
      </w:r>
      <w:r w:rsidRPr="007D72AB">
        <w:rPr>
          <w:lang w:val="en-GB"/>
        </w:rPr>
        <w:t xml:space="preserve"> Map of the current IoF2020 use case sites in Europe</w:t>
      </w:r>
      <w:r>
        <w:rPr>
          <w:lang w:val="en-GB"/>
        </w:rPr>
        <w:t xml:space="preserve"> divided over </w:t>
      </w:r>
      <w:r w:rsidR="001430F7">
        <w:rPr>
          <w:lang w:val="en-GB"/>
        </w:rPr>
        <w:t xml:space="preserve">the </w:t>
      </w:r>
      <w:r>
        <w:rPr>
          <w:lang w:val="en-GB"/>
        </w:rPr>
        <w:t>five subsector trials</w:t>
      </w:r>
      <w:r w:rsidR="001430F7">
        <w:rPr>
          <w:lang w:val="en-GB"/>
        </w:rPr>
        <w:t xml:space="preserve"> (see: </w:t>
      </w:r>
      <w:hyperlink r:id="rId9" w:history="1">
        <w:r w:rsidR="001430F7" w:rsidRPr="00565BB3">
          <w:rPr>
            <w:rStyle w:val="Hyperlink"/>
            <w:lang w:val="en-GB"/>
          </w:rPr>
          <w:t>www.iof2020.eu/trials</w:t>
        </w:r>
      </w:hyperlink>
      <w:r w:rsidR="001430F7">
        <w:rPr>
          <w:lang w:val="en-GB"/>
        </w:rPr>
        <w:t xml:space="preserve">) </w:t>
      </w:r>
    </w:p>
    <w:p w14:paraId="4ACBBDB8" w14:textId="77777777" w:rsidR="004A5BAE" w:rsidRPr="004A5BAE" w:rsidRDefault="440E69A3" w:rsidP="440E69A3">
      <w:pPr>
        <w:rPr>
          <w:lang w:val="en-GB"/>
        </w:rPr>
      </w:pPr>
      <w:r w:rsidRPr="440E69A3">
        <w:rPr>
          <w:lang w:val="en-GB"/>
        </w:rPr>
        <w:t>IoF2020 is searching for additional use cases that will complement the current use cases. At the same time, it is envisaged that proposers will consider the following potentials:</w:t>
      </w:r>
    </w:p>
    <w:p w14:paraId="053A22E0" w14:textId="77777777" w:rsidR="004A5BAE" w:rsidRDefault="440E69A3" w:rsidP="440E69A3">
      <w:pPr>
        <w:pStyle w:val="ListParagraph"/>
        <w:numPr>
          <w:ilvl w:val="0"/>
          <w:numId w:val="33"/>
        </w:numPr>
        <w:rPr>
          <w:lang w:val="en-GB"/>
        </w:rPr>
      </w:pPr>
      <w:r w:rsidRPr="440E69A3">
        <w:rPr>
          <w:lang w:val="en-GB"/>
        </w:rPr>
        <w:t>Extending the technological and business model dimension with aspects that are currently not addressed,</w:t>
      </w:r>
    </w:p>
    <w:p w14:paraId="2258957D" w14:textId="77777777" w:rsidR="004A5BAE" w:rsidRDefault="440E69A3" w:rsidP="440E69A3">
      <w:pPr>
        <w:pStyle w:val="ListParagraph"/>
        <w:numPr>
          <w:ilvl w:val="0"/>
          <w:numId w:val="33"/>
        </w:numPr>
        <w:rPr>
          <w:lang w:val="en-GB"/>
        </w:rPr>
      </w:pPr>
      <w:r w:rsidRPr="440E69A3">
        <w:rPr>
          <w:lang w:val="en-GB"/>
        </w:rPr>
        <w:t>Leveraging and using current use case work and knowledge,</w:t>
      </w:r>
    </w:p>
    <w:p w14:paraId="3B6B9309" w14:textId="77777777" w:rsidR="004A5BAE" w:rsidRPr="004A5BAE" w:rsidRDefault="440E69A3" w:rsidP="440E69A3">
      <w:pPr>
        <w:pStyle w:val="ListParagraph"/>
        <w:numPr>
          <w:ilvl w:val="0"/>
          <w:numId w:val="33"/>
        </w:numPr>
        <w:rPr>
          <w:lang w:val="en-GB"/>
        </w:rPr>
      </w:pPr>
      <w:r w:rsidRPr="440E69A3">
        <w:rPr>
          <w:lang w:val="en-GB"/>
        </w:rPr>
        <w:t xml:space="preserve">Enhancing current achievements based on most recent developments with respect to the state of the art in IoT technology and business processes in food and farming. </w:t>
      </w:r>
    </w:p>
    <w:p w14:paraId="28F483B5" w14:textId="77777777" w:rsidR="004A5BAE" w:rsidRPr="004A5BAE" w:rsidRDefault="440E69A3" w:rsidP="440E69A3">
      <w:pPr>
        <w:rPr>
          <w:lang w:val="en-GB"/>
        </w:rPr>
      </w:pPr>
      <w:r w:rsidRPr="440E69A3">
        <w:rPr>
          <w:lang w:val="en-GB"/>
        </w:rPr>
        <w:lastRenderedPageBreak/>
        <w:t>IoF2020 is aiming at the realisation of innovative IoT based solutions. Every proposal submitted shall explain its novelty and how it intends to present its results to a larger target audience and specifically to European stakeholders from the food and farming sectors. Therefore, the following shall be highlighted:</w:t>
      </w:r>
    </w:p>
    <w:p w14:paraId="476D7C83" w14:textId="77777777" w:rsidR="004A5BAE" w:rsidRDefault="440E69A3" w:rsidP="440E69A3">
      <w:pPr>
        <w:pStyle w:val="ListParagraph"/>
        <w:numPr>
          <w:ilvl w:val="0"/>
          <w:numId w:val="33"/>
        </w:numPr>
        <w:rPr>
          <w:lang w:val="en-GB"/>
        </w:rPr>
      </w:pPr>
      <w:r w:rsidRPr="440E69A3">
        <w:rPr>
          <w:lang w:val="en-GB"/>
        </w:rPr>
        <w:t xml:space="preserve">Envisaged solutions shall be deployed in real world settings and used by a sufficient amount of end users in daily practice for a proper validation and collection of results for dissemination. </w:t>
      </w:r>
    </w:p>
    <w:p w14:paraId="4E4E8B8D" w14:textId="77777777" w:rsidR="004A5BAE" w:rsidRDefault="440E69A3" w:rsidP="440E69A3">
      <w:pPr>
        <w:pStyle w:val="ListParagraph"/>
        <w:numPr>
          <w:ilvl w:val="0"/>
          <w:numId w:val="33"/>
        </w:numPr>
        <w:rPr>
          <w:lang w:val="en-GB"/>
        </w:rPr>
      </w:pPr>
      <w:r w:rsidRPr="440E69A3">
        <w:rPr>
          <w:lang w:val="en-GB"/>
        </w:rPr>
        <w:t>Proposals shall balance novelty and maturity of the envisaged IoT based solutions for being able to involve real end users. Envisaged solutions must not just aim at a “proof of concept”, but being able to clearly validate a specific feature promising to realise a clear value proposition for the related end</w:t>
      </w:r>
      <w:r w:rsidR="00775ED1">
        <w:rPr>
          <w:lang w:val="en-GB"/>
        </w:rPr>
        <w:t xml:space="preserve"> </w:t>
      </w:r>
      <w:r w:rsidRPr="440E69A3">
        <w:rPr>
          <w:lang w:val="en-GB"/>
        </w:rPr>
        <w:t xml:space="preserve">users. </w:t>
      </w:r>
    </w:p>
    <w:p w14:paraId="364C7185" w14:textId="77777777" w:rsidR="004A5BAE" w:rsidRDefault="440E69A3" w:rsidP="440E69A3">
      <w:pPr>
        <w:pStyle w:val="ListParagraph"/>
        <w:numPr>
          <w:ilvl w:val="0"/>
          <w:numId w:val="33"/>
        </w:numPr>
        <w:rPr>
          <w:lang w:val="en-GB"/>
        </w:rPr>
      </w:pPr>
      <w:r w:rsidRPr="440E69A3">
        <w:rPr>
          <w:lang w:val="en-GB"/>
        </w:rPr>
        <w:t xml:space="preserve">The reuse of results and knowledge provided by the current 19 use cases and envisaged cooperation of the stakeholders shall be explained. This needs to be reflected in the work plan, further detailing the envisaged support and effort it will imply for the existing use case teams. </w:t>
      </w:r>
    </w:p>
    <w:p w14:paraId="2DABD83B" w14:textId="77777777" w:rsidR="004A5BAE" w:rsidRDefault="440E69A3" w:rsidP="440E69A3">
      <w:pPr>
        <w:pStyle w:val="ListParagraph"/>
        <w:numPr>
          <w:ilvl w:val="0"/>
          <w:numId w:val="33"/>
        </w:numPr>
        <w:rPr>
          <w:lang w:val="en-GB"/>
        </w:rPr>
      </w:pPr>
      <w:r w:rsidRPr="440E69A3">
        <w:rPr>
          <w:lang w:val="en-GB"/>
        </w:rPr>
        <w:t>Reuse of existing results and knowledge shall also detail potential issues with respect to the usage of datasets and/or intellectual property that current end users would be expected to provide for a proper implementation of your solution.</w:t>
      </w:r>
    </w:p>
    <w:p w14:paraId="34930BE7" w14:textId="77777777" w:rsidR="004A5BAE" w:rsidRDefault="440E69A3" w:rsidP="440E69A3">
      <w:pPr>
        <w:pStyle w:val="ListParagraph"/>
        <w:numPr>
          <w:ilvl w:val="0"/>
          <w:numId w:val="33"/>
        </w:numPr>
        <w:rPr>
          <w:lang w:val="en-GB"/>
        </w:rPr>
      </w:pPr>
      <w:r w:rsidRPr="440E69A3">
        <w:rPr>
          <w:lang w:val="en-GB"/>
        </w:rPr>
        <w:t>The envisaged novelty can be realised in the deployed IoT based technology, the envisaged business model and/or in the business processes to be realised by the end-users.</w:t>
      </w:r>
    </w:p>
    <w:p w14:paraId="083C66CD" w14:textId="77777777" w:rsidR="008264C4" w:rsidRDefault="440E69A3" w:rsidP="008264C4">
      <w:pPr>
        <w:pStyle w:val="Heading2"/>
      </w:pPr>
      <w:bookmarkStart w:id="8" w:name="_Toc515638337"/>
      <w:r>
        <w:t>Main Use Case Characteristics</w:t>
      </w:r>
      <w:bookmarkEnd w:id="8"/>
    </w:p>
    <w:p w14:paraId="10407DB3" w14:textId="77777777" w:rsidR="008264C4" w:rsidRPr="008264C4" w:rsidRDefault="440E69A3" w:rsidP="440E69A3">
      <w:pPr>
        <w:pStyle w:val="ListParagraph"/>
        <w:numPr>
          <w:ilvl w:val="0"/>
          <w:numId w:val="0"/>
        </w:numPr>
        <w:rPr>
          <w:lang w:val="en-GB"/>
        </w:rPr>
      </w:pPr>
      <w:r w:rsidRPr="440E69A3">
        <w:rPr>
          <w:lang w:val="en-GB"/>
        </w:rPr>
        <w:t>IoF2020 encourages proposers to learn from the use case results that were delivered in the first quarter of 2018 as well as to join the series of events with IoF2020 partners to discuss collaboration potentials with existing use cases in detail.</w:t>
      </w:r>
    </w:p>
    <w:p w14:paraId="1522EA7C" w14:textId="583989F6" w:rsidR="00C15C25" w:rsidRDefault="00775ED1" w:rsidP="440E69A3">
      <w:pPr>
        <w:rPr>
          <w:lang w:val="en-GB"/>
        </w:rPr>
      </w:pPr>
      <w:r>
        <w:fldChar w:fldCharType="begin"/>
      </w:r>
      <w:r w:rsidRPr="00775ED1">
        <w:rPr>
          <w:lang w:val="en-GB"/>
        </w:rPr>
        <w:instrText xml:space="preserve"> REF _Ref511383083 \h </w:instrText>
      </w:r>
      <w:r>
        <w:fldChar w:fldCharType="separate"/>
      </w:r>
      <w:r w:rsidR="00AD0CE7" w:rsidRPr="00C5403D">
        <w:rPr>
          <w:lang w:val="en-GB"/>
        </w:rPr>
        <w:t xml:space="preserve">Table </w:t>
      </w:r>
      <w:r w:rsidR="00AD0CE7">
        <w:rPr>
          <w:noProof/>
          <w:lang w:val="en-GB"/>
        </w:rPr>
        <w:t>1</w:t>
      </w:r>
      <w:r>
        <w:fldChar w:fldCharType="end"/>
      </w:r>
      <w:r w:rsidRPr="00775ED1">
        <w:rPr>
          <w:lang w:val="en-GB"/>
        </w:rPr>
        <w:t xml:space="preserve"> </w:t>
      </w:r>
      <w:r w:rsidR="00066470">
        <w:rPr>
          <w:lang w:val="en-GB"/>
        </w:rPr>
        <w:t xml:space="preserve">in Annex 1 </w:t>
      </w:r>
      <w:r w:rsidR="00C15C25">
        <w:rPr>
          <w:lang w:val="en-GB"/>
        </w:rPr>
        <w:t xml:space="preserve">lists the nineteen use cases for each trial and indicates </w:t>
      </w:r>
      <w:r w:rsidR="00894CF1">
        <w:rPr>
          <w:lang w:val="en-GB"/>
        </w:rPr>
        <w:t>the application areas addressed, the chain roles and the</w:t>
      </w:r>
      <w:r w:rsidR="00C15C25">
        <w:rPr>
          <w:lang w:val="en-GB"/>
        </w:rPr>
        <w:t xml:space="preserve"> countries involved.</w:t>
      </w:r>
      <w:bookmarkStart w:id="9" w:name="_Ref503773965"/>
      <w:r w:rsidR="00D77274">
        <w:rPr>
          <w:lang w:val="en-GB"/>
        </w:rPr>
        <w:t xml:space="preserve"> </w:t>
      </w:r>
      <w:r w:rsidR="00B75837">
        <w:rPr>
          <w:lang w:val="en-GB"/>
        </w:rPr>
        <w:t>M</w:t>
      </w:r>
      <w:r w:rsidR="00D77274">
        <w:rPr>
          <w:lang w:val="en-GB"/>
        </w:rPr>
        <w:t>ore information</w:t>
      </w:r>
      <w:r w:rsidR="00BF15F9">
        <w:rPr>
          <w:lang w:val="en-GB"/>
        </w:rPr>
        <w:t xml:space="preserve"> about the use cases </w:t>
      </w:r>
      <w:r w:rsidR="00B75837">
        <w:rPr>
          <w:lang w:val="en-GB"/>
        </w:rPr>
        <w:t xml:space="preserve">can be found at </w:t>
      </w:r>
      <w:r w:rsidR="00BF15F9">
        <w:rPr>
          <w:lang w:val="en-GB"/>
        </w:rPr>
        <w:t>the I</w:t>
      </w:r>
      <w:r w:rsidR="00B75837">
        <w:rPr>
          <w:lang w:val="en-GB"/>
        </w:rPr>
        <w:t>o</w:t>
      </w:r>
      <w:r w:rsidR="00BF15F9">
        <w:rPr>
          <w:lang w:val="en-GB"/>
        </w:rPr>
        <w:t>F</w:t>
      </w:r>
      <w:r w:rsidR="00B75837">
        <w:rPr>
          <w:lang w:val="en-GB"/>
        </w:rPr>
        <w:t>2020</w:t>
      </w:r>
      <w:r w:rsidR="00BF15F9">
        <w:rPr>
          <w:lang w:val="en-GB"/>
        </w:rPr>
        <w:t xml:space="preserve"> website (</w:t>
      </w:r>
      <w:hyperlink r:id="rId10" w:history="1">
        <w:r w:rsidR="00D77274" w:rsidRPr="00582821">
          <w:rPr>
            <w:rStyle w:val="Hyperlink"/>
            <w:lang w:val="en-GB"/>
          </w:rPr>
          <w:t>https://iof2020.eu/trials</w:t>
        </w:r>
      </w:hyperlink>
      <w:r w:rsidR="00BF15F9">
        <w:rPr>
          <w:lang w:val="en-GB"/>
        </w:rPr>
        <w:t>)</w:t>
      </w:r>
      <w:r w:rsidR="00B75837">
        <w:rPr>
          <w:lang w:val="en-GB"/>
        </w:rPr>
        <w:t>.</w:t>
      </w:r>
      <w:bookmarkEnd w:id="9"/>
      <w:r>
        <w:rPr>
          <w:lang w:val="en-GB"/>
        </w:rPr>
        <w:t xml:space="preserve"> </w:t>
      </w:r>
      <w:r w:rsidR="440E69A3" w:rsidRPr="440E69A3">
        <w:rPr>
          <w:lang w:val="en-GB"/>
        </w:rPr>
        <w:t>There are also public deliverables available from the website with more information about the use cases (</w:t>
      </w:r>
      <w:hyperlink r:id="rId11">
        <w:r w:rsidR="440E69A3" w:rsidRPr="440E69A3">
          <w:rPr>
            <w:rStyle w:val="Hyperlink"/>
            <w:lang w:val="en-GB"/>
          </w:rPr>
          <w:t>http://www.iof2020.eu/about/deliverables</w:t>
        </w:r>
      </w:hyperlink>
      <w:r w:rsidR="440E69A3" w:rsidRPr="440E69A3">
        <w:rPr>
          <w:lang w:val="en-GB"/>
        </w:rPr>
        <w:t>).</w:t>
      </w:r>
    </w:p>
    <w:p w14:paraId="778A6232" w14:textId="032D655C" w:rsidR="008264C4" w:rsidRPr="004A5BAE" w:rsidRDefault="00775ED1" w:rsidP="440E69A3">
      <w:pPr>
        <w:rPr>
          <w:lang w:val="en-GB"/>
        </w:rPr>
      </w:pPr>
      <w:r w:rsidRPr="00775ED1">
        <w:rPr>
          <w:lang w:val="en-GB"/>
        </w:rPr>
        <w:fldChar w:fldCharType="begin"/>
      </w:r>
      <w:r w:rsidRPr="00775ED1">
        <w:rPr>
          <w:lang w:val="en-GB"/>
        </w:rPr>
        <w:instrText xml:space="preserve"> REF _Ref511383148 \h  \* MERGEFORMAT </w:instrText>
      </w:r>
      <w:r w:rsidRPr="00775ED1">
        <w:rPr>
          <w:lang w:val="en-GB"/>
        </w:rPr>
      </w:r>
      <w:r w:rsidRPr="00775ED1">
        <w:rPr>
          <w:lang w:val="en-GB"/>
        </w:rPr>
        <w:fldChar w:fldCharType="separate"/>
      </w:r>
      <w:r w:rsidR="00AD0CE7" w:rsidRPr="00AD0CE7">
        <w:rPr>
          <w:iCs/>
          <w:lang w:val="en-GB"/>
        </w:rPr>
        <w:t xml:space="preserve">Table </w:t>
      </w:r>
      <w:r w:rsidR="00AD0CE7" w:rsidRPr="00AD0CE7">
        <w:rPr>
          <w:noProof/>
          <w:lang w:val="en-GB"/>
        </w:rPr>
        <w:t>2</w:t>
      </w:r>
      <w:r w:rsidRPr="00775ED1">
        <w:rPr>
          <w:lang w:val="en-GB"/>
        </w:rPr>
        <w:fldChar w:fldCharType="end"/>
      </w:r>
      <w:r w:rsidRPr="00775ED1">
        <w:rPr>
          <w:lang w:val="en-GB"/>
        </w:rPr>
        <w:t xml:space="preserve"> </w:t>
      </w:r>
      <w:r w:rsidR="008264C4">
        <w:rPr>
          <w:lang w:val="en-GB"/>
        </w:rPr>
        <w:t xml:space="preserve">in Annex 1 </w:t>
      </w:r>
      <w:r w:rsidR="008264C4" w:rsidRPr="004A5BAE">
        <w:rPr>
          <w:lang w:val="en-GB"/>
        </w:rPr>
        <w:t>provides an overview of the enabling technology that is initiall</w:t>
      </w:r>
      <w:r w:rsidR="008264C4">
        <w:rPr>
          <w:lang w:val="en-GB"/>
        </w:rPr>
        <w:t xml:space="preserve">y deployed in the 19 use cases. </w:t>
      </w:r>
      <w:r w:rsidR="008264C4" w:rsidRPr="004A5BAE">
        <w:rPr>
          <w:lang w:val="en-GB"/>
        </w:rPr>
        <w:t xml:space="preserve">Please take into account that each proposal needs to explain the expected impact of an IoT based solution. Therefore, simple repetitions of similar solutions are not searched for, but as soon as a proposing team sees a significant added-value when validating use case results and knowledge in e.g. clearly deviating settings/context, with additional business models, very large amounts of end-users (e.g. farmers) or also complementary IoT based solutions proposals would be considered relevant. </w:t>
      </w:r>
    </w:p>
    <w:p w14:paraId="12E61F7D" w14:textId="11CE7D8A" w:rsidR="008264C4" w:rsidRDefault="440E69A3" w:rsidP="440E69A3">
      <w:pPr>
        <w:rPr>
          <w:lang w:val="en-GB"/>
        </w:rPr>
      </w:pPr>
      <w:r w:rsidRPr="440E69A3">
        <w:rPr>
          <w:lang w:val="en-GB"/>
        </w:rPr>
        <w:t xml:space="preserve">However, please also check the eligibility and selection criteria in chapter </w:t>
      </w:r>
      <w:r w:rsidR="003F76E7">
        <w:rPr>
          <w:lang w:val="en-GB"/>
        </w:rPr>
        <w:fldChar w:fldCharType="begin"/>
      </w:r>
      <w:r w:rsidR="003F76E7">
        <w:rPr>
          <w:lang w:val="en-GB"/>
        </w:rPr>
        <w:instrText xml:space="preserve"> REF _Ref512005209 \r \h </w:instrText>
      </w:r>
      <w:r w:rsidR="003F76E7">
        <w:rPr>
          <w:lang w:val="en-GB"/>
        </w:rPr>
      </w:r>
      <w:r w:rsidR="003F76E7">
        <w:rPr>
          <w:lang w:val="en-GB"/>
        </w:rPr>
        <w:fldChar w:fldCharType="separate"/>
      </w:r>
      <w:r w:rsidR="00AD0CE7">
        <w:rPr>
          <w:lang w:val="en-GB"/>
        </w:rPr>
        <w:t>5</w:t>
      </w:r>
      <w:r w:rsidR="003F76E7">
        <w:rPr>
          <w:lang w:val="en-GB"/>
        </w:rPr>
        <w:fldChar w:fldCharType="end"/>
      </w:r>
      <w:r w:rsidRPr="440E69A3">
        <w:rPr>
          <w:lang w:val="en-GB"/>
        </w:rPr>
        <w:t xml:space="preserve"> and </w:t>
      </w:r>
      <w:r w:rsidR="003F76E7">
        <w:rPr>
          <w:lang w:val="en-GB"/>
        </w:rPr>
        <w:fldChar w:fldCharType="begin"/>
      </w:r>
      <w:r w:rsidR="003F76E7">
        <w:rPr>
          <w:lang w:val="en-GB"/>
        </w:rPr>
        <w:instrText xml:space="preserve"> REF _Ref512005211 \r \h </w:instrText>
      </w:r>
      <w:r w:rsidR="003F76E7">
        <w:rPr>
          <w:lang w:val="en-GB"/>
        </w:rPr>
      </w:r>
      <w:r w:rsidR="003F76E7">
        <w:rPr>
          <w:lang w:val="en-GB"/>
        </w:rPr>
        <w:fldChar w:fldCharType="separate"/>
      </w:r>
      <w:r w:rsidR="00AD0CE7">
        <w:rPr>
          <w:lang w:val="en-GB"/>
        </w:rPr>
        <w:t>6</w:t>
      </w:r>
      <w:r w:rsidR="003F76E7">
        <w:rPr>
          <w:lang w:val="en-GB"/>
        </w:rPr>
        <w:fldChar w:fldCharType="end"/>
      </w:r>
      <w:r w:rsidRPr="440E69A3">
        <w:rPr>
          <w:lang w:val="en-GB"/>
        </w:rPr>
        <w:t xml:space="preserve">. At the same time, please also use the opportunity to get in direct contact with the IoF2020 project and possibly even the use case teams during the upcoming event series, presenting the current solutions and offering to discuss potential solutions. </w:t>
      </w:r>
    </w:p>
    <w:p w14:paraId="2152B3B0" w14:textId="77777777" w:rsidR="008264C4" w:rsidRDefault="440E69A3" w:rsidP="008264C4">
      <w:pPr>
        <w:pStyle w:val="Heading2"/>
      </w:pPr>
      <w:bookmarkStart w:id="10" w:name="_Toc515638338"/>
      <w:r>
        <w:t>Stakeholder Involvement</w:t>
      </w:r>
      <w:bookmarkEnd w:id="10"/>
    </w:p>
    <w:p w14:paraId="7CC42008" w14:textId="3DD60C3A" w:rsidR="00706369" w:rsidRDefault="00B75837" w:rsidP="440E69A3">
      <w:pPr>
        <w:rPr>
          <w:lang w:val="en-GB"/>
        </w:rPr>
      </w:pPr>
      <w:r w:rsidRPr="440E69A3">
        <w:fldChar w:fldCharType="begin"/>
      </w:r>
      <w:r>
        <w:rPr>
          <w:lang w:val="en-GB"/>
        </w:rPr>
        <w:instrText xml:space="preserve"> REF _Ref507182259 \h </w:instrText>
      </w:r>
      <w:r w:rsidRPr="440E69A3">
        <w:rPr>
          <w:lang w:val="en-GB"/>
        </w:rPr>
        <w:fldChar w:fldCharType="separate"/>
      </w:r>
      <w:r w:rsidR="00AD0CE7" w:rsidRPr="00B75837">
        <w:rPr>
          <w:lang w:val="en-GB"/>
        </w:rPr>
        <w:t xml:space="preserve">Figure </w:t>
      </w:r>
      <w:r w:rsidR="00AD0CE7">
        <w:rPr>
          <w:noProof/>
          <w:lang w:val="en-GB"/>
        </w:rPr>
        <w:t>2</w:t>
      </w:r>
      <w:r w:rsidRPr="440E69A3">
        <w:fldChar w:fldCharType="end"/>
      </w:r>
      <w:r>
        <w:rPr>
          <w:lang w:val="en-GB"/>
        </w:rPr>
        <w:t xml:space="preserve"> provides an overview of the various stakeholders that are involved in the </w:t>
      </w:r>
      <w:r w:rsidR="008264C4">
        <w:rPr>
          <w:lang w:val="en-GB"/>
        </w:rPr>
        <w:t xml:space="preserve">current </w:t>
      </w:r>
      <w:r>
        <w:rPr>
          <w:lang w:val="en-GB"/>
        </w:rPr>
        <w:t xml:space="preserve">IoF2020 ecosystem. The key stakeholders are part of the use cases, but </w:t>
      </w:r>
      <w:r w:rsidR="008264C4">
        <w:rPr>
          <w:lang w:val="en-GB"/>
        </w:rPr>
        <w:t>also</w:t>
      </w:r>
      <w:r>
        <w:rPr>
          <w:lang w:val="en-GB"/>
        </w:rPr>
        <w:t xml:space="preserve"> other groups (e.g. policy-makers, general public) are included through all kind of communication and dissemination activities. More information can be found at </w:t>
      </w:r>
      <w:hyperlink r:id="rId12" w:history="1">
        <w:r w:rsidR="00476E7A" w:rsidRPr="003B3BDA">
          <w:rPr>
            <w:rStyle w:val="Hyperlink"/>
            <w:lang w:val="en-GB"/>
          </w:rPr>
          <w:t>www.IoF2020.eu</w:t>
        </w:r>
      </w:hyperlink>
      <w:r w:rsidR="00476E7A">
        <w:rPr>
          <w:lang w:val="en-GB"/>
        </w:rPr>
        <w:t xml:space="preserve"> and </w:t>
      </w:r>
      <w:r w:rsidR="00476E7A" w:rsidRPr="00A11B86">
        <w:rPr>
          <w:lang w:val="en-GB"/>
        </w:rPr>
        <w:t>deliverable 5.3 Ecosystem Building Strategy</w:t>
      </w:r>
      <w:r w:rsidR="00476E7A">
        <w:rPr>
          <w:lang w:val="en-GB"/>
        </w:rPr>
        <w:t>.</w:t>
      </w:r>
    </w:p>
    <w:p w14:paraId="0B0DBC7C" w14:textId="77777777" w:rsidR="0093575A" w:rsidRDefault="0093575A" w:rsidP="0093575A">
      <w:pPr>
        <w:keepNext/>
      </w:pPr>
      <w:r w:rsidRPr="0093575A">
        <w:rPr>
          <w:noProof/>
          <w:lang w:eastAsia="nl-NL"/>
        </w:rPr>
        <w:lastRenderedPageBreak/>
        <w:drawing>
          <wp:inline distT="0" distB="0" distL="0" distR="0" wp14:anchorId="05675425" wp14:editId="6813B414">
            <wp:extent cx="5756910" cy="22997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2299787"/>
                    </a:xfrm>
                    <a:prstGeom prst="rect">
                      <a:avLst/>
                    </a:prstGeom>
                    <a:noFill/>
                    <a:ln>
                      <a:noFill/>
                    </a:ln>
                  </pic:spPr>
                </pic:pic>
              </a:graphicData>
            </a:graphic>
          </wp:inline>
        </w:drawing>
      </w:r>
    </w:p>
    <w:p w14:paraId="290491FA" w14:textId="4FB18CCD" w:rsidR="0093575A" w:rsidRDefault="0093575A" w:rsidP="440E69A3">
      <w:pPr>
        <w:pStyle w:val="Caption"/>
        <w:rPr>
          <w:lang w:val="en-GB"/>
        </w:rPr>
      </w:pPr>
      <w:bookmarkStart w:id="11" w:name="_Ref507182259"/>
      <w:r w:rsidRPr="00B75837">
        <w:rPr>
          <w:lang w:val="en-GB"/>
        </w:rPr>
        <w:t xml:space="preserve">Figure </w:t>
      </w:r>
      <w:r>
        <w:fldChar w:fldCharType="begin"/>
      </w:r>
      <w:r w:rsidRPr="00B75837">
        <w:rPr>
          <w:lang w:val="en-GB"/>
        </w:rPr>
        <w:instrText xml:space="preserve"> SEQ Figure \* ARABIC </w:instrText>
      </w:r>
      <w:r>
        <w:fldChar w:fldCharType="separate"/>
      </w:r>
      <w:r w:rsidR="00AD0CE7">
        <w:rPr>
          <w:noProof/>
          <w:lang w:val="en-GB"/>
        </w:rPr>
        <w:t>2</w:t>
      </w:r>
      <w:r>
        <w:fldChar w:fldCharType="end"/>
      </w:r>
      <w:bookmarkEnd w:id="11"/>
      <w:r w:rsidR="0019568F" w:rsidRPr="0019568F">
        <w:rPr>
          <w:lang w:val="en-GB"/>
        </w:rPr>
        <w:t>:</w:t>
      </w:r>
      <w:r w:rsidRPr="00B75837">
        <w:rPr>
          <w:lang w:val="en-GB"/>
        </w:rPr>
        <w:t xml:space="preserve"> </w:t>
      </w:r>
      <w:r w:rsidR="00B75837" w:rsidRPr="00B75837">
        <w:rPr>
          <w:lang w:val="en-GB"/>
        </w:rPr>
        <w:t>Overview of the stakeholder groups that are involved in the IoF2020 ecosystem</w:t>
      </w:r>
    </w:p>
    <w:p w14:paraId="2F60EEC0" w14:textId="7EFCA8E5" w:rsidR="009C608B" w:rsidRDefault="440E69A3" w:rsidP="440E69A3">
      <w:pPr>
        <w:rPr>
          <w:lang w:val="en-GB"/>
        </w:rPr>
      </w:pPr>
      <w:r w:rsidRPr="440E69A3">
        <w:rPr>
          <w:lang w:val="en-GB"/>
        </w:rPr>
        <w:t xml:space="preserve">Teams proposing additional use cases shall reflect on which stakeholders will be relevant for their activities as well as outline those specific stakeholders that will be directly involved from their side. Please detail this also for stakeholders that would not become a direct participant signing a contractual agreement with IoF2020. A letter of intent </w:t>
      </w:r>
      <w:r w:rsidR="00CA72B8">
        <w:rPr>
          <w:lang w:val="en-GB"/>
        </w:rPr>
        <w:t xml:space="preserve">(LoI) </w:t>
      </w:r>
      <w:r w:rsidRPr="440E69A3">
        <w:rPr>
          <w:lang w:val="en-GB"/>
        </w:rPr>
        <w:t>signed by such stakeholders could extend the explanati</w:t>
      </w:r>
      <w:r w:rsidR="00CA72B8">
        <w:rPr>
          <w:lang w:val="en-GB"/>
        </w:rPr>
        <w:t>on in the proposal. Such a</w:t>
      </w:r>
      <w:r w:rsidR="00394652">
        <w:rPr>
          <w:lang w:val="en-GB"/>
        </w:rPr>
        <w:t xml:space="preserve"> LoI</w:t>
      </w:r>
      <w:r w:rsidRPr="440E69A3">
        <w:rPr>
          <w:lang w:val="en-GB"/>
        </w:rPr>
        <w:t xml:space="preserve"> could shortly outline the envisaged type of involvement and might even highlight tangible support that would be offered (e.g. amount of effort for supporting the project realisation that would be offered in kind, infrastructure that could be used by the proposers, end</w:t>
      </w:r>
      <w:r w:rsidR="0045114A">
        <w:rPr>
          <w:lang w:val="en-GB"/>
        </w:rPr>
        <w:t xml:space="preserve"> </w:t>
      </w:r>
      <w:r w:rsidRPr="440E69A3">
        <w:rPr>
          <w:lang w:val="en-GB"/>
        </w:rPr>
        <w:t>users that would be involved in tests</w:t>
      </w:r>
      <w:r w:rsidR="003F76E7">
        <w:rPr>
          <w:lang w:val="en-GB"/>
        </w:rPr>
        <w:t>, or also budget that would be invested</w:t>
      </w:r>
      <w:r w:rsidRPr="440E69A3">
        <w:rPr>
          <w:lang w:val="en-GB"/>
        </w:rPr>
        <w:t>.</w:t>
      </w:r>
    </w:p>
    <w:p w14:paraId="34B407CE" w14:textId="77777777" w:rsidR="003F76E7" w:rsidRDefault="003F76E7">
      <w:pPr>
        <w:spacing w:before="0" w:after="0"/>
        <w:rPr>
          <w:lang w:val="en-GB"/>
        </w:rPr>
      </w:pPr>
      <w:r>
        <w:rPr>
          <w:lang w:val="en-GB"/>
        </w:rPr>
        <w:br w:type="page"/>
      </w:r>
    </w:p>
    <w:p w14:paraId="799C2B52" w14:textId="77777777" w:rsidR="0017315D" w:rsidRPr="0017315D" w:rsidRDefault="440E69A3" w:rsidP="440E69A3">
      <w:pPr>
        <w:pStyle w:val="Heading1"/>
        <w:rPr>
          <w:lang w:val="en-GB"/>
        </w:rPr>
      </w:pPr>
      <w:bookmarkStart w:id="12" w:name="_Ref507164855"/>
      <w:bookmarkStart w:id="13" w:name="_Toc515638339"/>
      <w:r w:rsidRPr="440E69A3">
        <w:rPr>
          <w:lang w:val="en-GB"/>
        </w:rPr>
        <w:lastRenderedPageBreak/>
        <w:t>Objective of the Open Call and major challenges</w:t>
      </w:r>
      <w:bookmarkEnd w:id="5"/>
      <w:bookmarkEnd w:id="12"/>
      <w:bookmarkEnd w:id="13"/>
    </w:p>
    <w:p w14:paraId="7736DF8C" w14:textId="77777777" w:rsidR="005F0CE1" w:rsidRPr="005F0CE1" w:rsidRDefault="440E69A3" w:rsidP="440E69A3">
      <w:pPr>
        <w:rPr>
          <w:lang w:val="en-GB"/>
        </w:rPr>
      </w:pPr>
      <w:r w:rsidRPr="440E69A3">
        <w:rPr>
          <w:lang w:val="en-GB"/>
        </w:rPr>
        <w:t>IoF2020 looks for proposals that present in a convincing way a high impact on the supply chain, a high level of technical feasibility &amp; innovation as well as a strong economic sustainability. Proposals should be supported by a coherent team of stakeholders that represent the entire IoT supply chain (technology providers, service integrators, end-users, etc.). As IoF2020 is following the</w:t>
      </w:r>
      <w:r w:rsidR="00D71437">
        <w:rPr>
          <w:lang w:val="en-GB"/>
        </w:rPr>
        <w:t xml:space="preserve"> </w:t>
      </w:r>
      <w:r w:rsidRPr="440E69A3">
        <w:rPr>
          <w:lang w:val="en-GB"/>
        </w:rPr>
        <w:t>multi-actor approach</w:t>
      </w:r>
      <w:r w:rsidR="003F76E7">
        <w:rPr>
          <w:rStyle w:val="FootnoteReference"/>
          <w:lang w:val="en-GB"/>
        </w:rPr>
        <w:footnoteReference w:id="2"/>
      </w:r>
      <w:r w:rsidRPr="440E69A3">
        <w:rPr>
          <w:lang w:val="en-GB"/>
        </w:rPr>
        <w:t>, proposals submitted by single parties will not be considered.</w:t>
      </w:r>
    </w:p>
    <w:p w14:paraId="505A08C6" w14:textId="77777777" w:rsidR="00917894" w:rsidRPr="00917894" w:rsidRDefault="440E69A3" w:rsidP="440E69A3">
      <w:pPr>
        <w:spacing w:after="0"/>
        <w:rPr>
          <w:i/>
          <w:iCs/>
          <w:lang w:val="en-GB"/>
        </w:rPr>
      </w:pPr>
      <w:r w:rsidRPr="440E69A3">
        <w:rPr>
          <w:i/>
          <w:iCs/>
          <w:lang w:val="en-GB"/>
        </w:rPr>
        <w:t>Increasing impact</w:t>
      </w:r>
    </w:p>
    <w:p w14:paraId="290F71AB" w14:textId="488164CC" w:rsidR="00917894" w:rsidRPr="00917894" w:rsidRDefault="440E69A3" w:rsidP="440E69A3">
      <w:pPr>
        <w:spacing w:after="0"/>
        <w:rPr>
          <w:lang w:val="en-GB"/>
        </w:rPr>
      </w:pPr>
      <w:r w:rsidRPr="440E69A3">
        <w:rPr>
          <w:lang w:val="en-GB"/>
        </w:rPr>
        <w:t>The primary objective of the Open Call is to increase the scale and impact of the IoF2020 initiative. The Open Call will allow new use case teams to join our journey within the Internet of Food and Farm to enlarge the number of IoF2020 stakeholders and create more impact on the European farming and food sector. The new use cases should substantially enlarge the number of actual IoT-users, in areas and production sectors with growth potential.</w:t>
      </w:r>
      <w:r w:rsidR="00207504">
        <w:rPr>
          <w:lang w:val="en-GB"/>
        </w:rPr>
        <w:t xml:space="preserve"> </w:t>
      </w:r>
      <w:r w:rsidR="004B7749">
        <w:rPr>
          <w:lang w:val="en-GB"/>
        </w:rPr>
        <w:t>New use case teams are preferably led by partner from the private business sector.</w:t>
      </w:r>
      <w:r w:rsidR="00110743" w:rsidRPr="00A35979">
        <w:rPr>
          <w:lang w:val="en-GB"/>
        </w:rPr>
        <w:t xml:space="preserve"> </w:t>
      </w:r>
      <w:r w:rsidR="00110743" w:rsidRPr="00110743">
        <w:rPr>
          <w:lang w:val="en-GB"/>
        </w:rPr>
        <w:t>The participation of innovative SMEs in use cases is encouraged and could enable SMEs to test innovative technologies and services.</w:t>
      </w:r>
    </w:p>
    <w:p w14:paraId="50886983" w14:textId="77777777" w:rsidR="00917894" w:rsidRPr="000E1B1B" w:rsidRDefault="440E69A3" w:rsidP="440E69A3">
      <w:pPr>
        <w:spacing w:after="0"/>
        <w:rPr>
          <w:i/>
          <w:iCs/>
          <w:lang w:val="en-GB"/>
        </w:rPr>
      </w:pPr>
      <w:r w:rsidRPr="440E69A3">
        <w:rPr>
          <w:i/>
          <w:iCs/>
          <w:lang w:val="en-GB"/>
        </w:rPr>
        <w:t>Major challenges</w:t>
      </w:r>
    </w:p>
    <w:p w14:paraId="1C44AFDE" w14:textId="77777777" w:rsidR="00917894" w:rsidRPr="00917894" w:rsidRDefault="440E69A3" w:rsidP="440E69A3">
      <w:pPr>
        <w:spacing w:after="0"/>
        <w:rPr>
          <w:lang w:val="en-GB"/>
        </w:rPr>
      </w:pPr>
      <w:r w:rsidRPr="440E69A3">
        <w:rPr>
          <w:lang w:val="en-GB"/>
        </w:rPr>
        <w:t>For the Open Call we are looking for highly impactful and market-ready IoT innovations that will be validated and demonstrated, following the</w:t>
      </w:r>
      <w:r w:rsidR="00D71437">
        <w:rPr>
          <w:lang w:val="en-GB"/>
        </w:rPr>
        <w:t xml:space="preserve"> </w:t>
      </w:r>
      <w:r w:rsidRPr="440E69A3">
        <w:rPr>
          <w:lang w:val="en-GB"/>
        </w:rPr>
        <w:t xml:space="preserve">multi-actor approach in: </w:t>
      </w:r>
    </w:p>
    <w:p w14:paraId="121B92FF" w14:textId="77777777" w:rsidR="00917894" w:rsidRPr="00917894" w:rsidRDefault="00917894" w:rsidP="00917894">
      <w:pPr>
        <w:spacing w:after="0"/>
        <w:rPr>
          <w:lang w:val="en-GB"/>
        </w:rPr>
      </w:pPr>
    </w:p>
    <w:p w14:paraId="46E2EEB8" w14:textId="77777777" w:rsidR="00917894" w:rsidRPr="004179AA" w:rsidRDefault="440E69A3" w:rsidP="00754865">
      <w:pPr>
        <w:pStyle w:val="ListParagraph"/>
        <w:numPr>
          <w:ilvl w:val="0"/>
          <w:numId w:val="35"/>
        </w:numPr>
        <w:spacing w:before="0" w:after="0" w:line="302" w:lineRule="auto"/>
        <w:ind w:left="1069"/>
        <w:rPr>
          <w:b/>
          <w:bCs/>
        </w:rPr>
      </w:pPr>
      <w:r w:rsidRPr="440E69A3">
        <w:rPr>
          <w:b/>
          <w:bCs/>
        </w:rPr>
        <w:t>IoT use cases in new regions</w:t>
      </w:r>
    </w:p>
    <w:p w14:paraId="0F0A9979" w14:textId="77777777" w:rsidR="00DE3E7B" w:rsidRDefault="0045114A" w:rsidP="00754865">
      <w:pPr>
        <w:spacing w:after="0"/>
        <w:ind w:left="709"/>
        <w:rPr>
          <w:lang w:val="en-GB"/>
        </w:rPr>
      </w:pPr>
      <w:r>
        <w:fldChar w:fldCharType="begin"/>
      </w:r>
      <w:r w:rsidRPr="0045114A">
        <w:rPr>
          <w:lang w:val="en-GB"/>
        </w:rPr>
        <w:instrText xml:space="preserve"> REF _Ref503772438 \h </w:instrText>
      </w:r>
      <w:r>
        <w:fldChar w:fldCharType="separate"/>
      </w:r>
      <w:r w:rsidR="00AD0CE7" w:rsidRPr="007D72AB">
        <w:rPr>
          <w:lang w:val="en-GB"/>
        </w:rPr>
        <w:t xml:space="preserve">Figure </w:t>
      </w:r>
      <w:r w:rsidR="00AD0CE7">
        <w:rPr>
          <w:noProof/>
          <w:lang w:val="en-GB"/>
        </w:rPr>
        <w:t>1</w:t>
      </w:r>
      <w:r>
        <w:fldChar w:fldCharType="end"/>
      </w:r>
      <w:r w:rsidRPr="00262959">
        <w:rPr>
          <w:lang w:val="en-GB"/>
        </w:rPr>
        <w:t xml:space="preserve"> and </w:t>
      </w:r>
      <w:r>
        <w:fldChar w:fldCharType="begin"/>
      </w:r>
      <w:r w:rsidRPr="00262959">
        <w:rPr>
          <w:lang w:val="en-GB"/>
        </w:rPr>
        <w:instrText xml:space="preserve"> REF _Ref511383083 \h </w:instrText>
      </w:r>
      <w:r>
        <w:fldChar w:fldCharType="separate"/>
      </w:r>
      <w:r w:rsidR="00AD0CE7" w:rsidRPr="00C5403D">
        <w:rPr>
          <w:lang w:val="en-GB"/>
        </w:rPr>
        <w:t xml:space="preserve">Table </w:t>
      </w:r>
      <w:r w:rsidR="00AD0CE7">
        <w:rPr>
          <w:noProof/>
          <w:lang w:val="en-GB"/>
        </w:rPr>
        <w:t>1</w:t>
      </w:r>
      <w:r>
        <w:fldChar w:fldCharType="end"/>
      </w:r>
      <w:r w:rsidRPr="00262959">
        <w:rPr>
          <w:lang w:val="en-GB"/>
        </w:rPr>
        <w:t xml:space="preserve"> </w:t>
      </w:r>
      <w:r w:rsidR="00917894">
        <w:rPr>
          <w:lang w:val="en-GB"/>
        </w:rPr>
        <w:t>clearly show that the eastern part of Europe is not or less covered, and, to a lesser extent, also the northern part of Europe. Applications for new use cases in EU member states that are not yet involved in IoF2020</w:t>
      </w:r>
      <w:r w:rsidR="00DD1300">
        <w:rPr>
          <w:lang w:val="en-GB"/>
        </w:rPr>
        <w:t>,</w:t>
      </w:r>
      <w:r w:rsidR="00917894">
        <w:rPr>
          <w:lang w:val="en-GB"/>
        </w:rPr>
        <w:t xml:space="preserve"> </w:t>
      </w:r>
      <w:r w:rsidR="00DD1300">
        <w:rPr>
          <w:lang w:val="en-GB"/>
        </w:rPr>
        <w:t xml:space="preserve">including associated countries, </w:t>
      </w:r>
      <w:r w:rsidR="00262959">
        <w:rPr>
          <w:lang w:val="en-GB"/>
        </w:rPr>
        <w:t>are</w:t>
      </w:r>
      <w:r w:rsidR="00917894">
        <w:rPr>
          <w:lang w:val="en-GB"/>
        </w:rPr>
        <w:t xml:space="preserve"> therefore encouraged</w:t>
      </w:r>
      <w:r w:rsidR="00262959">
        <w:rPr>
          <w:lang w:val="en-GB"/>
        </w:rPr>
        <w:t xml:space="preserve"> to apply</w:t>
      </w:r>
      <w:r w:rsidR="00917894">
        <w:rPr>
          <w:rStyle w:val="FootnoteReference"/>
          <w:lang w:val="en-GB"/>
        </w:rPr>
        <w:footnoteReference w:id="3"/>
      </w:r>
      <w:r w:rsidR="00262959">
        <w:rPr>
          <w:lang w:val="en-GB"/>
        </w:rPr>
        <w:t>.</w:t>
      </w:r>
      <w:r w:rsidR="00DE3E7B" w:rsidRPr="00DE3E7B">
        <w:rPr>
          <w:lang w:val="en-GB"/>
        </w:rPr>
        <w:t xml:space="preserve"> </w:t>
      </w:r>
    </w:p>
    <w:p w14:paraId="0AECD786" w14:textId="71DB8F05" w:rsidR="00917894" w:rsidRDefault="00DE3E7B" w:rsidP="00754865">
      <w:pPr>
        <w:spacing w:after="0"/>
        <w:ind w:left="709"/>
        <w:rPr>
          <w:lang w:val="en-GB"/>
        </w:rPr>
      </w:pPr>
      <w:r w:rsidRPr="00DE3E7B">
        <w:rPr>
          <w:lang w:val="en-GB"/>
        </w:rPr>
        <w:t>Although the ecosystem and context in other countries can be very different from the countries where current use cases take place, it is encouraged to learn from the existing use cases reusing IoT innovations and technologies that are already developed and tested. New use cases can of course also choose to combine their own equipment with useful elements from current IoF2020 solutions. In this way it is expected that the impact of current IoF2020 solutions will be maximized.</w:t>
      </w:r>
    </w:p>
    <w:p w14:paraId="3CB8B2CE" w14:textId="77777777" w:rsidR="00917894" w:rsidRPr="00DE3E7B" w:rsidRDefault="00917894" w:rsidP="00754865">
      <w:pPr>
        <w:pStyle w:val="ListParagraph"/>
        <w:numPr>
          <w:ilvl w:val="0"/>
          <w:numId w:val="0"/>
        </w:numPr>
        <w:spacing w:after="0"/>
        <w:ind w:left="1069"/>
        <w:rPr>
          <w:lang w:val="en-GB"/>
        </w:rPr>
      </w:pPr>
    </w:p>
    <w:p w14:paraId="14B06E97" w14:textId="77777777" w:rsidR="00917894" w:rsidRPr="004179AA" w:rsidRDefault="440E69A3" w:rsidP="00754865">
      <w:pPr>
        <w:pStyle w:val="ListParagraph"/>
        <w:numPr>
          <w:ilvl w:val="0"/>
          <w:numId w:val="35"/>
        </w:numPr>
        <w:spacing w:before="0" w:after="0" w:line="302" w:lineRule="auto"/>
        <w:ind w:left="1069"/>
        <w:rPr>
          <w:b/>
          <w:bCs/>
        </w:rPr>
      </w:pPr>
      <w:r w:rsidRPr="440E69A3">
        <w:rPr>
          <w:b/>
          <w:bCs/>
        </w:rPr>
        <w:t>Post-farm use cases and other sectors</w:t>
      </w:r>
    </w:p>
    <w:p w14:paraId="4F8F63F5" w14:textId="4CDD1EDF" w:rsidR="005F0CE1" w:rsidRPr="000E1B1B" w:rsidRDefault="440E69A3" w:rsidP="00754865">
      <w:pPr>
        <w:spacing w:after="0"/>
        <w:ind w:left="709"/>
        <w:rPr>
          <w:lang w:val="en-GB"/>
        </w:rPr>
      </w:pPr>
      <w:r w:rsidRPr="440E69A3">
        <w:rPr>
          <w:lang w:val="en-GB"/>
        </w:rPr>
        <w:t>We are welcoming use cases</w:t>
      </w:r>
      <w:r w:rsidR="00DD1300">
        <w:rPr>
          <w:lang w:val="en-GB"/>
        </w:rPr>
        <w:t xml:space="preserve"> from</w:t>
      </w:r>
      <w:r w:rsidR="00E70A7F">
        <w:rPr>
          <w:lang w:val="en-GB"/>
        </w:rPr>
        <w:t xml:space="preserve"> EU member states already involved in IoF2020,</w:t>
      </w:r>
      <w:r w:rsidRPr="440E69A3">
        <w:rPr>
          <w:lang w:val="en-GB"/>
        </w:rPr>
        <w:t xml:space="preserve"> that extend the impact of IoF2020 </w:t>
      </w:r>
      <w:r w:rsidR="00F244F8">
        <w:rPr>
          <w:lang w:val="en-GB"/>
        </w:rPr>
        <w:t>in the post-farm segments of</w:t>
      </w:r>
      <w:r w:rsidRPr="440E69A3">
        <w:rPr>
          <w:lang w:val="en-GB"/>
        </w:rPr>
        <w:t xml:space="preserve"> the supply chain. Complementary areas could be in e.g. logistics, processing, retail and in particular the end-consumer. Use cases addressing other subsectors</w:t>
      </w:r>
      <w:r w:rsidR="00AA141D">
        <w:rPr>
          <w:rStyle w:val="FootnoteReference"/>
          <w:lang w:val="en-GB"/>
        </w:rPr>
        <w:footnoteReference w:id="4"/>
      </w:r>
      <w:r w:rsidRPr="440E69A3">
        <w:rPr>
          <w:lang w:val="en-GB"/>
        </w:rPr>
        <w:t xml:space="preserve"> (other crops, animals, etc.) are also encouraged</w:t>
      </w:r>
      <w:r w:rsidR="007E0D50">
        <w:rPr>
          <w:lang w:val="en-GB"/>
        </w:rPr>
        <w:t>,</w:t>
      </w:r>
      <w:r w:rsidR="007E0D50" w:rsidRPr="007E0D50">
        <w:rPr>
          <w:lang w:val="en-GB"/>
        </w:rPr>
        <w:t xml:space="preserve"> as well as use cases addressing new business models with focus on SMEs.</w:t>
      </w:r>
    </w:p>
    <w:p w14:paraId="07B32139" w14:textId="539C9B72" w:rsidR="00917894" w:rsidRPr="005F0CE1" w:rsidRDefault="440E69A3" w:rsidP="00754865">
      <w:pPr>
        <w:spacing w:after="0"/>
        <w:ind w:left="709"/>
        <w:rPr>
          <w:lang w:val="en-GB"/>
        </w:rPr>
      </w:pPr>
      <w:r w:rsidRPr="440E69A3">
        <w:rPr>
          <w:lang w:val="en-GB"/>
        </w:rPr>
        <w:lastRenderedPageBreak/>
        <w:t xml:space="preserve">From </w:t>
      </w:r>
      <w:r w:rsidR="00262959">
        <w:rPr>
          <w:lang w:val="en-GB"/>
        </w:rPr>
        <w:fldChar w:fldCharType="begin"/>
      </w:r>
      <w:r w:rsidR="00262959">
        <w:rPr>
          <w:lang w:val="en-GB"/>
        </w:rPr>
        <w:instrText xml:space="preserve"> REF _Ref511383083 \h </w:instrText>
      </w:r>
      <w:r w:rsidR="00262959">
        <w:rPr>
          <w:lang w:val="en-GB"/>
        </w:rPr>
      </w:r>
      <w:r w:rsidR="00262959">
        <w:rPr>
          <w:lang w:val="en-GB"/>
        </w:rPr>
        <w:fldChar w:fldCharType="separate"/>
      </w:r>
      <w:r w:rsidR="00AD0CE7" w:rsidRPr="00C5403D">
        <w:rPr>
          <w:lang w:val="en-GB"/>
        </w:rPr>
        <w:t xml:space="preserve">Table </w:t>
      </w:r>
      <w:r w:rsidR="00AD0CE7">
        <w:rPr>
          <w:noProof/>
          <w:lang w:val="en-GB"/>
        </w:rPr>
        <w:t>1</w:t>
      </w:r>
      <w:r w:rsidR="00262959">
        <w:rPr>
          <w:lang w:val="en-GB"/>
        </w:rPr>
        <w:fldChar w:fldCharType="end"/>
      </w:r>
      <w:r w:rsidRPr="440E69A3">
        <w:rPr>
          <w:lang w:val="en-GB"/>
        </w:rPr>
        <w:t xml:space="preserve"> it can be concluded that current use cases are focusing on the farm level</w:t>
      </w:r>
      <w:r w:rsidR="00754865">
        <w:rPr>
          <w:lang w:val="en-GB"/>
        </w:rPr>
        <w:t>.</w:t>
      </w:r>
      <w:r w:rsidRPr="440E69A3">
        <w:rPr>
          <w:lang w:val="en-GB"/>
        </w:rPr>
        <w:t xml:space="preserve"> </w:t>
      </w:r>
      <w:r w:rsidR="00754865">
        <w:rPr>
          <w:lang w:val="en-GB"/>
        </w:rPr>
        <w:t>I</w:t>
      </w:r>
      <w:r w:rsidRPr="440E69A3">
        <w:rPr>
          <w:lang w:val="en-GB"/>
        </w:rPr>
        <w:t xml:space="preserve">n particular, this holds for the arable and dairy trial. Although a fair number of use cases are including logistics and processing, they are still primarily focused on the farm level, when looking deeper into the activities. Only a few use cases are including consumer aspects.  </w:t>
      </w:r>
    </w:p>
    <w:p w14:paraId="7E0E3C9A" w14:textId="77777777" w:rsidR="005F0CE1" w:rsidRPr="005F0CE1" w:rsidRDefault="440E69A3" w:rsidP="00754865">
      <w:pPr>
        <w:spacing w:after="0"/>
        <w:rPr>
          <w:lang w:val="en-GB"/>
        </w:rPr>
      </w:pPr>
      <w:r w:rsidRPr="440E69A3">
        <w:rPr>
          <w:lang w:val="en-GB"/>
        </w:rPr>
        <w:t>Applicants do not have to choose between the two challenges but can also address both challenges at the same time</w:t>
      </w:r>
      <w:r w:rsidR="00AA0B4C">
        <w:rPr>
          <w:lang w:val="en-GB"/>
        </w:rPr>
        <w:t>, which also has consequences for the available budget (see next section)</w:t>
      </w:r>
      <w:r w:rsidRPr="440E69A3">
        <w:rPr>
          <w:lang w:val="en-GB"/>
        </w:rPr>
        <w:t>.</w:t>
      </w:r>
      <w:r w:rsidR="00754865">
        <w:rPr>
          <w:lang w:val="en-GB"/>
        </w:rPr>
        <w:t xml:space="preserve"> </w:t>
      </w:r>
    </w:p>
    <w:p w14:paraId="0337E94B" w14:textId="5E3641EF" w:rsidR="003F76E7" w:rsidRDefault="00754865" w:rsidP="003F76E7">
      <w:pPr>
        <w:rPr>
          <w:lang w:val="en-GB"/>
        </w:rPr>
      </w:pPr>
      <w:r>
        <w:rPr>
          <w:lang w:val="en-GB"/>
        </w:rPr>
        <w:t xml:space="preserve">Technology is moving fast in the IoT domain and IoF2020 should account for that. </w:t>
      </w:r>
      <w:r w:rsidRPr="00754865">
        <w:rPr>
          <w:lang w:val="en-GB"/>
        </w:rPr>
        <w:fldChar w:fldCharType="begin"/>
      </w:r>
      <w:r w:rsidRPr="00754865">
        <w:rPr>
          <w:lang w:val="en-GB"/>
        </w:rPr>
        <w:instrText xml:space="preserve"> REF _Ref511383148 \h  \* MERGEFORMAT </w:instrText>
      </w:r>
      <w:r w:rsidRPr="00754865">
        <w:rPr>
          <w:lang w:val="en-GB"/>
        </w:rPr>
      </w:r>
      <w:r w:rsidRPr="00754865">
        <w:rPr>
          <w:lang w:val="en-GB"/>
        </w:rPr>
        <w:fldChar w:fldCharType="separate"/>
      </w:r>
      <w:r w:rsidR="00AD0CE7" w:rsidRPr="00AD0CE7">
        <w:rPr>
          <w:iCs/>
          <w:lang w:val="en-GB"/>
        </w:rPr>
        <w:t xml:space="preserve">Table </w:t>
      </w:r>
      <w:r w:rsidR="00AD0CE7" w:rsidRPr="00AD0CE7">
        <w:rPr>
          <w:noProof/>
          <w:lang w:val="en-GB"/>
        </w:rPr>
        <w:t>2</w:t>
      </w:r>
      <w:r w:rsidRPr="00754865">
        <w:rPr>
          <w:lang w:val="en-GB"/>
        </w:rPr>
        <w:fldChar w:fldCharType="end"/>
      </w:r>
      <w:r w:rsidRPr="00754865">
        <w:rPr>
          <w:lang w:val="en-GB"/>
        </w:rPr>
        <w:t xml:space="preserve"> </w:t>
      </w:r>
      <w:r>
        <w:rPr>
          <w:lang w:val="en-GB"/>
        </w:rPr>
        <w:t xml:space="preserve">in Annex I </w:t>
      </w:r>
      <w:r w:rsidR="00454EE2">
        <w:rPr>
          <w:lang w:val="en-GB"/>
        </w:rPr>
        <w:t xml:space="preserve">shows that already quite some IoT technologies and applications are being deployed in the current use cases. </w:t>
      </w:r>
      <w:r w:rsidR="00AA0B4C">
        <w:rPr>
          <w:lang w:val="en-GB"/>
        </w:rPr>
        <w:t xml:space="preserve">At the beginning of </w:t>
      </w:r>
      <w:r w:rsidR="00E605F2">
        <w:rPr>
          <w:lang w:val="en-GB"/>
        </w:rPr>
        <w:t xml:space="preserve">Annex I a list of new technologies </w:t>
      </w:r>
      <w:r w:rsidR="00E85F55">
        <w:rPr>
          <w:lang w:val="en-GB"/>
        </w:rPr>
        <w:t xml:space="preserve">and applications </w:t>
      </w:r>
      <w:r w:rsidR="00E605F2">
        <w:rPr>
          <w:lang w:val="en-GB"/>
        </w:rPr>
        <w:t xml:space="preserve">is presented based on a </w:t>
      </w:r>
      <w:r w:rsidR="00E85F55">
        <w:rPr>
          <w:lang w:val="en-GB"/>
        </w:rPr>
        <w:t xml:space="preserve">quick scan </w:t>
      </w:r>
      <w:r w:rsidR="00E605F2">
        <w:rPr>
          <w:lang w:val="en-GB"/>
        </w:rPr>
        <w:t>of the current use</w:t>
      </w:r>
      <w:r w:rsidR="00E85F55">
        <w:rPr>
          <w:lang w:val="en-GB"/>
        </w:rPr>
        <w:t xml:space="preserve"> cases</w:t>
      </w:r>
      <w:r w:rsidR="00E605F2">
        <w:rPr>
          <w:lang w:val="en-GB"/>
        </w:rPr>
        <w:t xml:space="preserve">. </w:t>
      </w:r>
      <w:r w:rsidR="00E85F55">
        <w:rPr>
          <w:lang w:val="en-GB"/>
        </w:rPr>
        <w:t xml:space="preserve">Including new technologies and applications </w:t>
      </w:r>
      <w:r w:rsidR="002E3A7D">
        <w:rPr>
          <w:lang w:val="en-GB"/>
        </w:rPr>
        <w:t xml:space="preserve">will be </w:t>
      </w:r>
      <w:r w:rsidR="00E605F2">
        <w:rPr>
          <w:lang w:val="en-GB"/>
        </w:rPr>
        <w:t>encouraged</w:t>
      </w:r>
      <w:r w:rsidR="00E85F55">
        <w:rPr>
          <w:lang w:val="en-GB"/>
        </w:rPr>
        <w:t xml:space="preserve"> in proposals for use cases.</w:t>
      </w:r>
      <w:r w:rsidR="003F76E7">
        <w:rPr>
          <w:lang w:val="en-GB"/>
        </w:rPr>
        <w:t xml:space="preserve"> On top of that, proposals for realising IoT based solutions shall aim at interoperability, replicability and reuse of the envisaged results. To achieve this, specifically the following aspects shall be considered when elaborating the proposals:</w:t>
      </w:r>
    </w:p>
    <w:p w14:paraId="12FD93C7" w14:textId="75D08D71" w:rsidR="00F3426A" w:rsidRPr="00AF42A2" w:rsidRDefault="003F76E7" w:rsidP="003A7425">
      <w:pPr>
        <w:pStyle w:val="Bullet1"/>
        <w:rPr>
          <w:lang w:val="en-GB"/>
        </w:rPr>
      </w:pPr>
      <w:r w:rsidRPr="00F3426A">
        <w:rPr>
          <w:lang w:val="en-GB"/>
        </w:rPr>
        <w:t>Interoperability:</w:t>
      </w:r>
      <w:r w:rsidRPr="00F3426A">
        <w:rPr>
          <w:lang w:val="en-GB"/>
        </w:rPr>
        <w:br/>
      </w:r>
      <w:r w:rsidR="00F3426A" w:rsidRPr="00AF42A2">
        <w:rPr>
          <w:lang w:val="en-GB"/>
        </w:rPr>
        <w:t xml:space="preserve">IoT based solutions </w:t>
      </w:r>
      <w:r w:rsidR="00450777">
        <w:rPr>
          <w:lang w:val="en-GB"/>
        </w:rPr>
        <w:t xml:space="preserve">that will be submitted in the open call </w:t>
      </w:r>
      <w:r w:rsidR="00F3426A" w:rsidRPr="00AF42A2">
        <w:rPr>
          <w:lang w:val="en-GB"/>
        </w:rPr>
        <w:t>shall make use of established open standards as far as possible. Proposals shall explain on how the solutions will avoid a vendor lock-in by pointing out key interoperability points in the architecture and which standards-based mechanisms will be used at those points, or where the teams are actively contributing aligning to the current work of related standard development organisations (e.g. AEF, AgGateway, ETSI, GS1, ISO, ITU-T, UNCEFACT).</w:t>
      </w:r>
    </w:p>
    <w:p w14:paraId="251AEF3F" w14:textId="77777777" w:rsidR="003F76E7" w:rsidRDefault="003F76E7" w:rsidP="003F76E7">
      <w:pPr>
        <w:pStyle w:val="Bullet1"/>
        <w:rPr>
          <w:lang w:val="en-GB"/>
        </w:rPr>
      </w:pPr>
      <w:r>
        <w:rPr>
          <w:lang w:val="en-GB"/>
        </w:rPr>
        <w:t>Replicability:</w:t>
      </w:r>
      <w:r>
        <w:rPr>
          <w:lang w:val="en-GB"/>
        </w:rPr>
        <w:br/>
        <w:t>The IoF2020 project will offer an IoT catalogue that will present the solutions deployed and validated in the scope of the project. Also the proposals selected in the scope of the open call need to confirm that they will provide access to their lessons learnt, best practices, tutorials, guidelines and an overview of deployed technical components. Open Source licenses and free access to the developed software components is not a must, but considered</w:t>
      </w:r>
      <w:r w:rsidR="004C4F16">
        <w:rPr>
          <w:lang w:val="en-GB"/>
        </w:rPr>
        <w:t xml:space="preserve"> desirable.</w:t>
      </w:r>
      <w:r>
        <w:rPr>
          <w:lang w:val="en-GB"/>
        </w:rPr>
        <w:t xml:space="preserve"> However, a tangible business model is considered a prerequisite that shall finally correspond to the selected licensing scheme and envisaged commercialisation strategy.</w:t>
      </w:r>
    </w:p>
    <w:p w14:paraId="155905FA" w14:textId="122D4361" w:rsidR="001F3AB5" w:rsidRDefault="003F76E7" w:rsidP="001F3AB5">
      <w:pPr>
        <w:pStyle w:val="Bullet1"/>
        <w:rPr>
          <w:lang w:val="en-GB"/>
        </w:rPr>
      </w:pPr>
      <w:r>
        <w:rPr>
          <w:lang w:val="en-GB"/>
        </w:rPr>
        <w:t>Reuse:</w:t>
      </w:r>
      <w:r>
        <w:rPr>
          <w:lang w:val="en-GB"/>
        </w:rPr>
        <w:br/>
      </w:r>
      <w:r w:rsidR="009152C1">
        <w:rPr>
          <w:lang w:val="en-GB"/>
        </w:rPr>
        <w:t>Proposals</w:t>
      </w:r>
      <w:r>
        <w:rPr>
          <w:lang w:val="en-GB"/>
        </w:rPr>
        <w:t xml:space="preserve"> shall explain on how they assure to reuse existing technological components to avoid reinventing the wheel. Reuse of results developed and/or validated in the initial IoF2020 use cases including open initiatives like FIWARE</w:t>
      </w:r>
      <w:r w:rsidRPr="00B96D47">
        <w:rPr>
          <w:lang w:val="en-GB"/>
        </w:rPr>
        <w:t xml:space="preserve"> </w:t>
      </w:r>
      <w:r>
        <w:rPr>
          <w:lang w:val="en-GB"/>
        </w:rPr>
        <w:t>as well as from other open sources</w:t>
      </w:r>
      <w:r w:rsidR="008B336E">
        <w:rPr>
          <w:lang w:val="en-GB"/>
        </w:rPr>
        <w:t xml:space="preserve"> initiatives</w:t>
      </w:r>
      <w:r>
        <w:rPr>
          <w:lang w:val="en-GB"/>
        </w:rPr>
        <w:t xml:space="preserve"> will be evaluated positive. </w:t>
      </w:r>
    </w:p>
    <w:p w14:paraId="7BD80D16" w14:textId="77777777" w:rsidR="00546AE7" w:rsidRDefault="00546AE7" w:rsidP="001F3AB5">
      <w:pPr>
        <w:rPr>
          <w:lang w:val="en-GB"/>
        </w:rPr>
      </w:pPr>
      <w:r w:rsidRPr="00546AE7">
        <w:rPr>
          <w:lang w:val="en-GB"/>
        </w:rPr>
        <w:t xml:space="preserve">Hence, a general objective of the proposed use cases shall be to validate IoT based solutions in a way that they will facilitate an understanding by different stakeholders on how IoT and related technologies can be applied in the food and farming industry, with a view of creating interoperable and portable solutions. Therefore, the identification of “interoperability points” shall be mapped to the use case’s architecture. </w:t>
      </w:r>
    </w:p>
    <w:p w14:paraId="1347033E" w14:textId="1FB7D8CD" w:rsidR="001F3AB5" w:rsidRDefault="00164111" w:rsidP="001F3AB5">
      <w:pPr>
        <w:rPr>
          <w:lang w:val="en-GB"/>
        </w:rPr>
      </w:pPr>
      <w:r>
        <w:rPr>
          <w:lang w:val="en-GB"/>
        </w:rPr>
        <w:t>A generic</w:t>
      </w:r>
      <w:r w:rsidR="001F3AB5">
        <w:rPr>
          <w:lang w:val="en-GB"/>
        </w:rPr>
        <w:t xml:space="preserve"> IoF</w:t>
      </w:r>
      <w:r>
        <w:rPr>
          <w:lang w:val="en-GB"/>
        </w:rPr>
        <w:t>2020</w:t>
      </w:r>
      <w:r w:rsidR="001F3AB5">
        <w:rPr>
          <w:lang w:val="en-GB"/>
        </w:rPr>
        <w:t xml:space="preserve"> architecture </w:t>
      </w:r>
      <w:r w:rsidRPr="00164111">
        <w:rPr>
          <w:lang w:val="en-GB"/>
        </w:rPr>
        <w:t>and relat</w:t>
      </w:r>
      <w:r>
        <w:rPr>
          <w:lang w:val="en-GB"/>
        </w:rPr>
        <w:t>ed interoperability points are</w:t>
      </w:r>
      <w:r w:rsidRPr="00164111">
        <w:rPr>
          <w:lang w:val="en-GB"/>
        </w:rPr>
        <w:t xml:space="preserve"> </w:t>
      </w:r>
      <w:r w:rsidR="001F3AB5">
        <w:rPr>
          <w:lang w:val="en-GB"/>
        </w:rPr>
        <w:t xml:space="preserve">described in Deliverable 3.3, which </w:t>
      </w:r>
      <w:r w:rsidR="002E0D7C">
        <w:rPr>
          <w:lang w:val="en-GB"/>
        </w:rPr>
        <w:t xml:space="preserve">is available on the IoF website </w:t>
      </w:r>
      <w:r w:rsidR="002E0D7C" w:rsidRPr="002E0D7C">
        <w:rPr>
          <w:lang w:val="en-GB"/>
        </w:rPr>
        <w:t>(</w:t>
      </w:r>
      <w:hyperlink r:id="rId14" w:history="1">
        <w:r w:rsidR="002E0D7C" w:rsidRPr="006016E7">
          <w:rPr>
            <w:rStyle w:val="Hyperlink"/>
            <w:lang w:val="en-GB"/>
          </w:rPr>
          <w:t>www.iof2020.eu/about/deliverables</w:t>
        </w:r>
      </w:hyperlink>
      <w:r w:rsidR="002E0D7C" w:rsidRPr="002E0D7C">
        <w:rPr>
          <w:lang w:val="en-GB"/>
        </w:rPr>
        <w:t>)</w:t>
      </w:r>
      <w:r>
        <w:rPr>
          <w:lang w:val="en-GB"/>
        </w:rPr>
        <w:t>.</w:t>
      </w:r>
    </w:p>
    <w:p w14:paraId="26541693" w14:textId="77777777" w:rsidR="0017315D" w:rsidRPr="008B0CE2" w:rsidRDefault="440E69A3" w:rsidP="440E69A3">
      <w:pPr>
        <w:pStyle w:val="Heading1"/>
        <w:rPr>
          <w:lang w:val="en-GB"/>
        </w:rPr>
      </w:pPr>
      <w:bookmarkStart w:id="14" w:name="_Toc497149343"/>
      <w:bookmarkStart w:id="15" w:name="_Ref511382660"/>
      <w:bookmarkStart w:id="16" w:name="_Toc515638340"/>
      <w:r w:rsidRPr="440E69A3">
        <w:rPr>
          <w:lang w:val="en-GB"/>
        </w:rPr>
        <w:t>Available budget and Call Schedule</w:t>
      </w:r>
      <w:bookmarkEnd w:id="14"/>
      <w:bookmarkEnd w:id="15"/>
      <w:bookmarkEnd w:id="16"/>
    </w:p>
    <w:p w14:paraId="02F2CFF6" w14:textId="77777777" w:rsidR="0017315D" w:rsidRPr="008B0CE2" w:rsidRDefault="440E69A3" w:rsidP="440E69A3">
      <w:pPr>
        <w:rPr>
          <w:lang w:val="en-GB"/>
        </w:rPr>
      </w:pPr>
      <w:r w:rsidRPr="440E69A3">
        <w:rPr>
          <w:lang w:val="en-GB"/>
        </w:rPr>
        <w:t xml:space="preserve">Based on the specific challenges that were described in the previous chapter the IoF2020 Open Call budget is subdivided into </w:t>
      </w:r>
      <w:r w:rsidR="00B97708">
        <w:rPr>
          <w:lang w:val="en-GB"/>
        </w:rPr>
        <w:t>two</w:t>
      </w:r>
      <w:r w:rsidR="00B97708" w:rsidRPr="440E69A3">
        <w:rPr>
          <w:lang w:val="en-GB"/>
        </w:rPr>
        <w:t xml:space="preserve"> </w:t>
      </w:r>
      <w:r w:rsidRPr="440E69A3">
        <w:rPr>
          <w:lang w:val="en-GB"/>
        </w:rPr>
        <w:t>separate tranches</w:t>
      </w:r>
      <w:r w:rsidR="00681764">
        <w:rPr>
          <w:lang w:val="en-GB"/>
        </w:rPr>
        <w:t xml:space="preserve"> according to the abovementioned specific challenges</w:t>
      </w:r>
      <w:r w:rsidRPr="440E69A3">
        <w:rPr>
          <w:lang w:val="en-GB"/>
        </w:rPr>
        <w:t>:</w:t>
      </w:r>
    </w:p>
    <w:p w14:paraId="3820B994" w14:textId="30A00A02" w:rsidR="0017315D" w:rsidRPr="008B0CE2" w:rsidRDefault="0017315D" w:rsidP="440E69A3">
      <w:pPr>
        <w:pStyle w:val="ListParagraph"/>
        <w:numPr>
          <w:ilvl w:val="0"/>
          <w:numId w:val="20"/>
        </w:numPr>
        <w:spacing w:before="0" w:after="0" w:line="276" w:lineRule="auto"/>
        <w:rPr>
          <w:lang w:val="en-GB"/>
        </w:rPr>
      </w:pPr>
      <w:r w:rsidRPr="008B0CE2">
        <w:rPr>
          <w:lang w:val="en-GB"/>
        </w:rPr>
        <w:t xml:space="preserve">New </w:t>
      </w:r>
      <w:r>
        <w:rPr>
          <w:lang w:val="en-GB"/>
        </w:rPr>
        <w:t xml:space="preserve">EU </w:t>
      </w:r>
      <w:r w:rsidRPr="008B0CE2">
        <w:rPr>
          <w:lang w:val="en-GB"/>
        </w:rPr>
        <w:t xml:space="preserve">regions: </w:t>
      </w:r>
      <w:r w:rsidRPr="008B0CE2">
        <w:rPr>
          <w:lang w:val="en-GB"/>
        </w:rPr>
        <w:tab/>
      </w:r>
      <w:r w:rsidRPr="008B0CE2">
        <w:rPr>
          <w:lang w:val="en-GB"/>
        </w:rPr>
        <w:tab/>
      </w:r>
      <w:r w:rsidRPr="008B0CE2">
        <w:rPr>
          <w:lang w:val="en-GB"/>
        </w:rPr>
        <w:tab/>
      </w:r>
      <w:r w:rsidR="00E605F2">
        <w:rPr>
          <w:lang w:val="en-GB"/>
        </w:rPr>
        <w:tab/>
      </w:r>
      <w:r w:rsidR="00A2609E">
        <w:rPr>
          <w:lang w:val="en-GB"/>
        </w:rPr>
        <w:tab/>
      </w:r>
      <w:r w:rsidR="00681764">
        <w:rPr>
          <w:lang w:val="en-GB"/>
        </w:rPr>
        <w:t>±</w:t>
      </w:r>
      <w:r w:rsidR="005F0CE1">
        <w:rPr>
          <w:lang w:val="en-GB"/>
        </w:rPr>
        <w:t xml:space="preserve"> </w:t>
      </w:r>
      <w:r w:rsidR="00E605F2">
        <w:rPr>
          <w:lang w:val="en-GB"/>
        </w:rPr>
        <w:t>3</w:t>
      </w:r>
      <w:r w:rsidR="00B97708">
        <w:rPr>
          <w:lang w:val="en-GB"/>
        </w:rPr>
        <w:t>.5</w:t>
      </w:r>
      <w:r w:rsidRPr="008B0CE2">
        <w:rPr>
          <w:lang w:val="en-GB"/>
        </w:rPr>
        <w:t xml:space="preserve"> Mio Euro</w:t>
      </w:r>
    </w:p>
    <w:p w14:paraId="5A7C38DC" w14:textId="77777777" w:rsidR="0017315D" w:rsidRDefault="00E605F2" w:rsidP="440E69A3">
      <w:pPr>
        <w:pStyle w:val="ListParagraph"/>
        <w:numPr>
          <w:ilvl w:val="0"/>
          <w:numId w:val="20"/>
        </w:numPr>
        <w:spacing w:before="0" w:after="0" w:line="276" w:lineRule="auto"/>
        <w:rPr>
          <w:lang w:val="en-GB"/>
        </w:rPr>
      </w:pPr>
      <w:r>
        <w:rPr>
          <w:lang w:val="en-GB"/>
        </w:rPr>
        <w:t>Post-farm stakeholders and other sectors</w:t>
      </w:r>
      <w:r w:rsidR="00A2609E">
        <w:rPr>
          <w:lang w:val="en-GB"/>
        </w:rPr>
        <w:tab/>
        <w:t>:</w:t>
      </w:r>
      <w:r w:rsidR="0017315D" w:rsidRPr="008B0CE2">
        <w:rPr>
          <w:lang w:val="en-GB"/>
        </w:rPr>
        <w:tab/>
      </w:r>
      <w:r w:rsidR="00681764">
        <w:rPr>
          <w:lang w:val="en-GB"/>
        </w:rPr>
        <w:t>±</w:t>
      </w:r>
      <w:r w:rsidR="005F0CE1">
        <w:rPr>
          <w:lang w:val="en-GB"/>
        </w:rPr>
        <w:t xml:space="preserve"> </w:t>
      </w:r>
      <w:r>
        <w:rPr>
          <w:lang w:val="en-GB"/>
        </w:rPr>
        <w:t>2</w:t>
      </w:r>
      <w:r w:rsidR="00B97708">
        <w:rPr>
          <w:lang w:val="en-GB"/>
        </w:rPr>
        <w:t>.5</w:t>
      </w:r>
      <w:r w:rsidR="0017315D" w:rsidRPr="008B0CE2">
        <w:rPr>
          <w:lang w:val="en-GB"/>
        </w:rPr>
        <w:t xml:space="preserve"> Mio Euro</w:t>
      </w:r>
    </w:p>
    <w:p w14:paraId="6A9E3573" w14:textId="77777777" w:rsidR="00702C7B" w:rsidRDefault="440E69A3" w:rsidP="440E69A3">
      <w:pPr>
        <w:rPr>
          <w:lang w:val="en-GB"/>
        </w:rPr>
      </w:pPr>
      <w:r w:rsidRPr="440E69A3">
        <w:rPr>
          <w:lang w:val="en-GB"/>
        </w:rPr>
        <w:lastRenderedPageBreak/>
        <w:t xml:space="preserve">The </w:t>
      </w:r>
      <w:r w:rsidR="00B96F10">
        <w:rPr>
          <w:lang w:val="en-GB"/>
        </w:rPr>
        <w:t>requested funding</w:t>
      </w:r>
      <w:r w:rsidR="00B96F10" w:rsidRPr="440E69A3">
        <w:rPr>
          <w:lang w:val="en-GB"/>
        </w:rPr>
        <w:t xml:space="preserve"> </w:t>
      </w:r>
      <w:r w:rsidRPr="440E69A3">
        <w:rPr>
          <w:lang w:val="en-GB"/>
        </w:rPr>
        <w:t xml:space="preserve">for each proposal </w:t>
      </w:r>
      <w:r w:rsidR="00702C7B">
        <w:rPr>
          <w:lang w:val="en-GB"/>
        </w:rPr>
        <w:t xml:space="preserve">may vary </w:t>
      </w:r>
      <w:r w:rsidRPr="00AA0B4C">
        <w:rPr>
          <w:lang w:val="en-GB"/>
        </w:rPr>
        <w:t>between</w:t>
      </w:r>
      <w:r w:rsidRPr="440E69A3">
        <w:rPr>
          <w:lang w:val="en-GB"/>
        </w:rPr>
        <w:t xml:space="preserve"> 300 - 500 kEuro</w:t>
      </w:r>
      <w:r w:rsidR="00AA0B4C">
        <w:rPr>
          <w:lang w:val="en-GB"/>
        </w:rPr>
        <w:t xml:space="preserve"> depending on the challenges that are addressed</w:t>
      </w:r>
      <w:r w:rsidR="00702C7B">
        <w:rPr>
          <w:lang w:val="en-GB"/>
        </w:rPr>
        <w:t>:</w:t>
      </w:r>
    </w:p>
    <w:p w14:paraId="52755B56" w14:textId="77777777" w:rsidR="00702C7B" w:rsidRPr="00E509DC" w:rsidRDefault="00AA0B4C" w:rsidP="00E509DC">
      <w:pPr>
        <w:pStyle w:val="ListParagraph"/>
        <w:numPr>
          <w:ilvl w:val="0"/>
          <w:numId w:val="43"/>
        </w:numPr>
        <w:rPr>
          <w:lang w:val="en-GB"/>
        </w:rPr>
      </w:pPr>
      <w:r w:rsidRPr="00E509DC">
        <w:rPr>
          <w:lang w:val="en-GB"/>
        </w:rPr>
        <w:t xml:space="preserve">Proposals focusing on challenge 1 (new regions) and </w:t>
      </w:r>
      <w:r w:rsidR="002B283C">
        <w:rPr>
          <w:lang w:val="en-GB"/>
        </w:rPr>
        <w:t>only</w:t>
      </w:r>
      <w:r w:rsidR="002B283C" w:rsidRPr="00E509DC">
        <w:rPr>
          <w:lang w:val="en-GB"/>
        </w:rPr>
        <w:t xml:space="preserve"> </w:t>
      </w:r>
      <w:r w:rsidR="0076619A">
        <w:rPr>
          <w:lang w:val="en-GB"/>
        </w:rPr>
        <w:t>reusing</w:t>
      </w:r>
      <w:r w:rsidR="0076619A" w:rsidRPr="00E509DC">
        <w:rPr>
          <w:lang w:val="en-GB"/>
        </w:rPr>
        <w:t xml:space="preserve"> </w:t>
      </w:r>
      <w:r w:rsidR="00681764" w:rsidRPr="00E509DC">
        <w:rPr>
          <w:lang w:val="en-GB"/>
        </w:rPr>
        <w:t xml:space="preserve">and </w:t>
      </w:r>
      <w:r w:rsidRPr="00E509DC">
        <w:rPr>
          <w:lang w:val="en-GB"/>
        </w:rPr>
        <w:t xml:space="preserve">validating experience, results and knowledge of an existing use case in a new region are eligible for </w:t>
      </w:r>
      <w:r w:rsidR="00B96F10">
        <w:rPr>
          <w:lang w:val="en-GB"/>
        </w:rPr>
        <w:t>requested funding</w:t>
      </w:r>
      <w:r w:rsidR="00B96F10" w:rsidRPr="00E509DC">
        <w:rPr>
          <w:lang w:val="en-GB"/>
        </w:rPr>
        <w:t xml:space="preserve"> </w:t>
      </w:r>
      <w:r w:rsidRPr="00E509DC">
        <w:rPr>
          <w:lang w:val="en-GB"/>
        </w:rPr>
        <w:t>of up to 300</w:t>
      </w:r>
      <w:r w:rsidR="003F76E7" w:rsidRPr="00E509DC">
        <w:rPr>
          <w:lang w:val="en-GB"/>
        </w:rPr>
        <w:t xml:space="preserve"> </w:t>
      </w:r>
      <w:r w:rsidRPr="00E509DC">
        <w:rPr>
          <w:lang w:val="en-GB"/>
        </w:rPr>
        <w:t>k</w:t>
      </w:r>
      <w:r w:rsidR="003F76E7" w:rsidRPr="00E509DC">
        <w:rPr>
          <w:lang w:val="en-GB"/>
        </w:rPr>
        <w:t>Euro</w:t>
      </w:r>
      <w:r w:rsidRPr="00E509DC">
        <w:rPr>
          <w:lang w:val="en-GB"/>
        </w:rPr>
        <w:t xml:space="preserve">. </w:t>
      </w:r>
    </w:p>
    <w:p w14:paraId="7B3DD4EB" w14:textId="77777777" w:rsidR="0076619A" w:rsidRDefault="0076619A" w:rsidP="0076619A">
      <w:pPr>
        <w:pStyle w:val="ListParagraph"/>
        <w:numPr>
          <w:ilvl w:val="0"/>
          <w:numId w:val="43"/>
        </w:numPr>
        <w:rPr>
          <w:lang w:val="en-GB"/>
        </w:rPr>
      </w:pPr>
      <w:r>
        <w:rPr>
          <w:lang w:val="en-GB"/>
        </w:rPr>
        <w:t xml:space="preserve">Proposals focusing on challenge 2 </w:t>
      </w:r>
      <w:r w:rsidRPr="00FB1CE7">
        <w:rPr>
          <w:lang w:val="en-GB"/>
        </w:rPr>
        <w:t xml:space="preserve">are eligible for </w:t>
      </w:r>
      <w:r w:rsidR="00B96F10">
        <w:rPr>
          <w:lang w:val="en-GB"/>
        </w:rPr>
        <w:t>requested funding</w:t>
      </w:r>
      <w:r w:rsidR="00B96F10" w:rsidRPr="00FB1CE7">
        <w:rPr>
          <w:lang w:val="en-GB"/>
        </w:rPr>
        <w:t xml:space="preserve"> </w:t>
      </w:r>
      <w:r w:rsidRPr="00FB1CE7">
        <w:rPr>
          <w:lang w:val="en-GB"/>
        </w:rPr>
        <w:t>of up to 300 kEuro.</w:t>
      </w:r>
    </w:p>
    <w:p w14:paraId="0E1E440B" w14:textId="77777777" w:rsidR="00702C7B" w:rsidRDefault="00310D68" w:rsidP="00E509DC">
      <w:pPr>
        <w:pStyle w:val="ListParagraph"/>
        <w:numPr>
          <w:ilvl w:val="0"/>
          <w:numId w:val="43"/>
        </w:numPr>
        <w:rPr>
          <w:lang w:val="en-GB"/>
        </w:rPr>
      </w:pPr>
      <w:r w:rsidRPr="00E509DC">
        <w:rPr>
          <w:lang w:val="en-GB"/>
        </w:rPr>
        <w:t xml:space="preserve">If proposals additionally introduce new </w:t>
      </w:r>
      <w:r w:rsidR="00EB165E">
        <w:rPr>
          <w:lang w:val="en-GB"/>
        </w:rPr>
        <w:t xml:space="preserve">mature </w:t>
      </w:r>
      <w:r w:rsidR="00681764" w:rsidRPr="00E509DC">
        <w:rPr>
          <w:lang w:val="en-GB"/>
        </w:rPr>
        <w:t xml:space="preserve">IoT </w:t>
      </w:r>
      <w:r w:rsidRPr="00E509DC">
        <w:rPr>
          <w:lang w:val="en-GB"/>
        </w:rPr>
        <w:t xml:space="preserve">technology </w:t>
      </w:r>
      <w:r w:rsidR="00667B17" w:rsidRPr="00E509DC">
        <w:rPr>
          <w:lang w:val="en-GB"/>
        </w:rPr>
        <w:t xml:space="preserve">or include test beds in </w:t>
      </w:r>
      <w:r w:rsidR="00A2609E" w:rsidRPr="00E509DC">
        <w:rPr>
          <w:lang w:val="en-GB"/>
        </w:rPr>
        <w:t>more</w:t>
      </w:r>
      <w:r w:rsidR="00667B17" w:rsidRPr="00E509DC">
        <w:rPr>
          <w:lang w:val="en-GB"/>
        </w:rPr>
        <w:t xml:space="preserve"> countries, </w:t>
      </w:r>
      <w:r w:rsidRPr="00E509DC">
        <w:rPr>
          <w:lang w:val="en-GB"/>
        </w:rPr>
        <w:t xml:space="preserve">a larger </w:t>
      </w:r>
      <w:r w:rsidR="00B96F10">
        <w:rPr>
          <w:lang w:val="en-GB"/>
        </w:rPr>
        <w:t>requested funding</w:t>
      </w:r>
      <w:r w:rsidR="00B96F10" w:rsidRPr="00E509DC">
        <w:rPr>
          <w:lang w:val="en-GB"/>
        </w:rPr>
        <w:t xml:space="preserve"> </w:t>
      </w:r>
      <w:r w:rsidR="003F76E7" w:rsidRPr="00E509DC">
        <w:rPr>
          <w:lang w:val="en-GB"/>
        </w:rPr>
        <w:t xml:space="preserve">of </w:t>
      </w:r>
      <w:r w:rsidRPr="00E509DC">
        <w:rPr>
          <w:lang w:val="en-GB"/>
        </w:rPr>
        <w:t xml:space="preserve">up to 500 kEuro </w:t>
      </w:r>
      <w:r w:rsidR="000A4FA1" w:rsidRPr="00E509DC">
        <w:rPr>
          <w:lang w:val="en-GB"/>
        </w:rPr>
        <w:t>can be requested</w:t>
      </w:r>
      <w:r w:rsidRPr="00E509DC">
        <w:rPr>
          <w:lang w:val="en-GB"/>
        </w:rPr>
        <w:t xml:space="preserve">. </w:t>
      </w:r>
    </w:p>
    <w:p w14:paraId="3A251976" w14:textId="77777777" w:rsidR="0088076F" w:rsidRPr="00E509DC" w:rsidRDefault="002B283C" w:rsidP="00E509DC">
      <w:pPr>
        <w:pStyle w:val="ListParagraph"/>
        <w:numPr>
          <w:ilvl w:val="0"/>
          <w:numId w:val="43"/>
        </w:numPr>
        <w:rPr>
          <w:lang w:val="en-GB"/>
        </w:rPr>
      </w:pPr>
      <w:r>
        <w:rPr>
          <w:lang w:val="en-GB"/>
        </w:rPr>
        <w:t>P</w:t>
      </w:r>
      <w:r w:rsidR="00AA0B4C" w:rsidRPr="00E509DC">
        <w:rPr>
          <w:lang w:val="en-GB"/>
        </w:rPr>
        <w:t xml:space="preserve">roposals covering both challenges (for example: </w:t>
      </w:r>
      <w:r w:rsidR="00681764" w:rsidRPr="00E509DC">
        <w:rPr>
          <w:lang w:val="en-GB"/>
        </w:rPr>
        <w:t>post-farm/other sectors</w:t>
      </w:r>
      <w:r w:rsidR="00AA0B4C" w:rsidRPr="00E509DC">
        <w:rPr>
          <w:lang w:val="en-GB"/>
        </w:rPr>
        <w:t xml:space="preserve"> in a new region) are eligible for </w:t>
      </w:r>
      <w:r w:rsidR="00B96F10">
        <w:rPr>
          <w:lang w:val="en-GB"/>
        </w:rPr>
        <w:t>requested funding</w:t>
      </w:r>
      <w:r w:rsidR="00B96F10" w:rsidRPr="00E509DC">
        <w:rPr>
          <w:lang w:val="en-GB"/>
        </w:rPr>
        <w:t xml:space="preserve"> </w:t>
      </w:r>
      <w:r w:rsidR="00AA0B4C" w:rsidRPr="00E509DC">
        <w:rPr>
          <w:lang w:val="en-GB"/>
        </w:rPr>
        <w:t>of up to 500</w:t>
      </w:r>
      <w:r w:rsidR="003F76E7" w:rsidRPr="00E509DC">
        <w:rPr>
          <w:lang w:val="en-GB"/>
        </w:rPr>
        <w:t xml:space="preserve"> </w:t>
      </w:r>
      <w:r w:rsidR="00AA0B4C" w:rsidRPr="00E509DC">
        <w:rPr>
          <w:lang w:val="en-GB"/>
        </w:rPr>
        <w:t>k</w:t>
      </w:r>
      <w:r w:rsidR="003F76E7" w:rsidRPr="00E509DC">
        <w:rPr>
          <w:lang w:val="en-GB"/>
        </w:rPr>
        <w:t>Euro</w:t>
      </w:r>
      <w:r w:rsidR="00AA0B4C" w:rsidRPr="00E509DC">
        <w:rPr>
          <w:lang w:val="en-GB"/>
        </w:rPr>
        <w:t>.</w:t>
      </w:r>
      <w:r w:rsidR="003F76E7" w:rsidRPr="00E509DC">
        <w:rPr>
          <w:lang w:val="en-GB"/>
        </w:rPr>
        <w:t xml:space="preserve"> </w:t>
      </w:r>
      <w:r w:rsidR="0041070A">
        <w:rPr>
          <w:lang w:val="en-GB"/>
        </w:rPr>
        <w:t>The budget for financing such proposals will come from the two tranches equally (i.e. 50-50%).</w:t>
      </w:r>
    </w:p>
    <w:p w14:paraId="3C4E97F0" w14:textId="77777777" w:rsidR="00AA0B4C" w:rsidRPr="00AA0B4C" w:rsidRDefault="440E69A3" w:rsidP="00E509DC">
      <w:pPr>
        <w:keepNext/>
        <w:rPr>
          <w:i/>
          <w:lang w:val="en-GB"/>
        </w:rPr>
      </w:pPr>
      <w:r w:rsidRPr="00AA0B4C">
        <w:rPr>
          <w:i/>
          <w:lang w:val="en-GB"/>
        </w:rPr>
        <w:t>Current planning</w:t>
      </w:r>
    </w:p>
    <w:p w14:paraId="2E27A463" w14:textId="77777777" w:rsidR="440E69A3" w:rsidRDefault="00AA0B4C" w:rsidP="440E69A3">
      <w:pPr>
        <w:rPr>
          <w:lang w:val="en-GB"/>
        </w:rPr>
      </w:pPr>
      <w:r>
        <w:rPr>
          <w:lang w:val="en-GB"/>
        </w:rPr>
        <w:t>T</w:t>
      </w:r>
      <w:r w:rsidR="440E69A3" w:rsidRPr="440E69A3">
        <w:rPr>
          <w:lang w:val="en-GB"/>
        </w:rPr>
        <w:t xml:space="preserve">he IoF2020 open call will open in </w:t>
      </w:r>
      <w:r w:rsidR="440E69A3" w:rsidRPr="440E69A3">
        <w:rPr>
          <w:u w:val="single"/>
          <w:lang w:val="en-GB"/>
        </w:rPr>
        <w:t>June 2018</w:t>
      </w:r>
      <w:r w:rsidR="440E69A3" w:rsidRPr="440E69A3">
        <w:rPr>
          <w:lang w:val="en-GB"/>
        </w:rPr>
        <w:t xml:space="preserve">. The deadline for proposals is </w:t>
      </w:r>
      <w:r w:rsidR="440E69A3" w:rsidRPr="00A11B86">
        <w:rPr>
          <w:u w:val="single"/>
          <w:lang w:val="en-GB"/>
        </w:rPr>
        <w:t>30 September 2018</w:t>
      </w:r>
      <w:r w:rsidR="440E69A3" w:rsidRPr="440E69A3">
        <w:rPr>
          <w:lang w:val="en-GB"/>
        </w:rPr>
        <w:t xml:space="preserve">. The selection process and the contracting will take place in October, November and December 2018 so that the new use cases can start in </w:t>
      </w:r>
      <w:r w:rsidR="440E69A3" w:rsidRPr="440E69A3">
        <w:rPr>
          <w:u w:val="single"/>
          <w:lang w:val="en-GB"/>
        </w:rPr>
        <w:t>January 2019</w:t>
      </w:r>
      <w:r w:rsidR="440E69A3" w:rsidRPr="440E69A3">
        <w:rPr>
          <w:lang w:val="en-GB"/>
        </w:rPr>
        <w:t>.</w:t>
      </w:r>
    </w:p>
    <w:p w14:paraId="41DA2768" w14:textId="77777777" w:rsidR="440E69A3" w:rsidRDefault="440E69A3" w:rsidP="440E69A3">
      <w:pPr>
        <w:rPr>
          <w:lang w:val="en-GB"/>
        </w:rPr>
      </w:pPr>
    </w:p>
    <w:tbl>
      <w:tblPr>
        <w:tblStyle w:val="GridTable1Light-Accent1"/>
        <w:tblW w:w="0" w:type="auto"/>
        <w:tblLayout w:type="fixed"/>
        <w:tblLook w:val="04A0" w:firstRow="1" w:lastRow="0" w:firstColumn="1" w:lastColumn="0" w:noHBand="0" w:noVBand="1"/>
      </w:tblPr>
      <w:tblGrid>
        <w:gridCol w:w="2820"/>
        <w:gridCol w:w="6030"/>
      </w:tblGrid>
      <w:tr w:rsidR="440E69A3" w:rsidRPr="00AA0B4C" w14:paraId="4D38C1C6" w14:textId="77777777" w:rsidTr="440E69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0" w:type="dxa"/>
          </w:tcPr>
          <w:p w14:paraId="69269885" w14:textId="77777777" w:rsidR="440E69A3" w:rsidRPr="00AD0CE7" w:rsidRDefault="00826999" w:rsidP="00AA0B4C">
            <w:pPr>
              <w:spacing w:before="0"/>
              <w:rPr>
                <w:szCs w:val="20"/>
              </w:rPr>
            </w:pPr>
            <w:r w:rsidRPr="00AD0CE7">
              <w:rPr>
                <w:rFonts w:eastAsia="Verdana"/>
                <w:szCs w:val="20"/>
                <w:lang w:val="en-GB"/>
              </w:rPr>
              <w:t>Schedule</w:t>
            </w:r>
          </w:p>
        </w:tc>
        <w:tc>
          <w:tcPr>
            <w:tcW w:w="6030" w:type="dxa"/>
          </w:tcPr>
          <w:p w14:paraId="08B61B0F" w14:textId="77777777" w:rsidR="440E69A3" w:rsidRPr="00AD0CE7" w:rsidRDefault="440E69A3" w:rsidP="00AA0B4C">
            <w:pPr>
              <w:spacing w:before="0"/>
              <w:cnfStyle w:val="100000000000" w:firstRow="1" w:lastRow="0" w:firstColumn="0" w:lastColumn="0" w:oddVBand="0" w:evenVBand="0" w:oddHBand="0" w:evenHBand="0" w:firstRowFirstColumn="0" w:firstRowLastColumn="0" w:lastRowFirstColumn="0" w:lastRowLastColumn="0"/>
              <w:rPr>
                <w:b w:val="0"/>
                <w:szCs w:val="20"/>
              </w:rPr>
            </w:pPr>
          </w:p>
        </w:tc>
      </w:tr>
      <w:tr w:rsidR="440E69A3" w:rsidRPr="00AA0B4C" w14:paraId="1B888CD3" w14:textId="77777777" w:rsidTr="00AD0CE7">
        <w:tc>
          <w:tcPr>
            <w:cnfStyle w:val="001000000000" w:firstRow="0" w:lastRow="0" w:firstColumn="1" w:lastColumn="0" w:oddVBand="0" w:evenVBand="0" w:oddHBand="0" w:evenHBand="0" w:firstRowFirstColumn="0" w:firstRowLastColumn="0" w:lastRowFirstColumn="0" w:lastRowLastColumn="0"/>
            <w:tcW w:w="2820" w:type="dxa"/>
            <w:vAlign w:val="center"/>
          </w:tcPr>
          <w:p w14:paraId="156EB308" w14:textId="77777777" w:rsidR="440E69A3" w:rsidRPr="00AD0CE7" w:rsidRDefault="440E69A3" w:rsidP="00AD0CE7">
            <w:pPr>
              <w:spacing w:before="120" w:after="120"/>
              <w:rPr>
                <w:b w:val="0"/>
                <w:szCs w:val="20"/>
              </w:rPr>
            </w:pPr>
            <w:r w:rsidRPr="00AD0CE7">
              <w:rPr>
                <w:rFonts w:eastAsia="Verdana"/>
                <w:b w:val="0"/>
                <w:i/>
                <w:iCs/>
                <w:szCs w:val="20"/>
                <w:lang w:val="en-GB"/>
              </w:rPr>
              <w:t>Date</w:t>
            </w:r>
          </w:p>
        </w:tc>
        <w:tc>
          <w:tcPr>
            <w:tcW w:w="6030" w:type="dxa"/>
            <w:vAlign w:val="center"/>
          </w:tcPr>
          <w:p w14:paraId="52D6F52C" w14:textId="77777777" w:rsidR="440E69A3" w:rsidRPr="00AD0CE7" w:rsidRDefault="440E69A3" w:rsidP="00AD0CE7">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AD0CE7">
              <w:rPr>
                <w:rFonts w:eastAsia="Verdana"/>
                <w:bCs/>
                <w:i/>
                <w:iCs/>
                <w:szCs w:val="20"/>
                <w:lang w:val="en-GB"/>
              </w:rPr>
              <w:t>Open Call Step</w:t>
            </w:r>
          </w:p>
        </w:tc>
      </w:tr>
      <w:tr w:rsidR="440E69A3" w:rsidRPr="005F3E9F" w14:paraId="79E60814" w14:textId="77777777" w:rsidTr="440E69A3">
        <w:tc>
          <w:tcPr>
            <w:cnfStyle w:val="001000000000" w:firstRow="0" w:lastRow="0" w:firstColumn="1" w:lastColumn="0" w:oddVBand="0" w:evenVBand="0" w:oddHBand="0" w:evenHBand="0" w:firstRowFirstColumn="0" w:firstRowLastColumn="0" w:lastRowFirstColumn="0" w:lastRowLastColumn="0"/>
            <w:tcW w:w="2820" w:type="dxa"/>
          </w:tcPr>
          <w:p w14:paraId="608F4D72" w14:textId="77777777" w:rsidR="440E69A3" w:rsidRPr="00AD0CE7" w:rsidRDefault="440E69A3" w:rsidP="00AA0B4C">
            <w:pPr>
              <w:spacing w:before="0"/>
              <w:rPr>
                <w:b w:val="0"/>
                <w:szCs w:val="20"/>
              </w:rPr>
            </w:pPr>
            <w:r w:rsidRPr="00AD0CE7">
              <w:rPr>
                <w:rFonts w:eastAsia="Verdana"/>
                <w:b w:val="0"/>
                <w:szCs w:val="20"/>
                <w:lang w:val="en-GB"/>
              </w:rPr>
              <w:t>June 5, 2018</w:t>
            </w:r>
          </w:p>
        </w:tc>
        <w:tc>
          <w:tcPr>
            <w:tcW w:w="6030" w:type="dxa"/>
          </w:tcPr>
          <w:p w14:paraId="749B0399" w14:textId="77777777" w:rsidR="440E69A3" w:rsidRPr="00AD0CE7" w:rsidRDefault="440E69A3" w:rsidP="00AA0B4C">
            <w:pPr>
              <w:spacing w:before="0"/>
              <w:cnfStyle w:val="000000000000" w:firstRow="0" w:lastRow="0" w:firstColumn="0" w:lastColumn="0" w:oddVBand="0" w:evenVBand="0" w:oddHBand="0" w:evenHBand="0" w:firstRowFirstColumn="0" w:firstRowLastColumn="0" w:lastRowFirstColumn="0" w:lastRowLastColumn="0"/>
              <w:rPr>
                <w:szCs w:val="20"/>
                <w:lang w:val="en-GB"/>
              </w:rPr>
            </w:pPr>
            <w:r w:rsidRPr="00AD0CE7">
              <w:rPr>
                <w:rFonts w:eastAsia="Verdana"/>
                <w:szCs w:val="20"/>
                <w:lang w:val="en-GB"/>
              </w:rPr>
              <w:t>Open call official text publication</w:t>
            </w:r>
          </w:p>
        </w:tc>
      </w:tr>
      <w:tr w:rsidR="440E69A3" w:rsidRPr="00AA0B4C" w14:paraId="487A6E35" w14:textId="77777777" w:rsidTr="440E69A3">
        <w:tc>
          <w:tcPr>
            <w:cnfStyle w:val="001000000000" w:firstRow="0" w:lastRow="0" w:firstColumn="1" w:lastColumn="0" w:oddVBand="0" w:evenVBand="0" w:oddHBand="0" w:evenHBand="0" w:firstRowFirstColumn="0" w:firstRowLastColumn="0" w:lastRowFirstColumn="0" w:lastRowLastColumn="0"/>
            <w:tcW w:w="2820" w:type="dxa"/>
          </w:tcPr>
          <w:p w14:paraId="08D0DF14" w14:textId="77777777" w:rsidR="440E69A3" w:rsidRPr="00AD0CE7" w:rsidRDefault="440E69A3" w:rsidP="00AA0B4C">
            <w:pPr>
              <w:spacing w:before="0"/>
              <w:rPr>
                <w:b w:val="0"/>
                <w:szCs w:val="20"/>
              </w:rPr>
            </w:pPr>
            <w:r w:rsidRPr="00AD0CE7">
              <w:rPr>
                <w:rFonts w:eastAsia="Verdana"/>
                <w:b w:val="0"/>
                <w:szCs w:val="20"/>
                <w:lang w:val="en-GB"/>
              </w:rPr>
              <w:t>September 30, 2018</w:t>
            </w:r>
          </w:p>
        </w:tc>
        <w:tc>
          <w:tcPr>
            <w:tcW w:w="6030" w:type="dxa"/>
          </w:tcPr>
          <w:p w14:paraId="500AC6D3" w14:textId="77777777" w:rsidR="440E69A3" w:rsidRPr="00AD0CE7" w:rsidRDefault="440E69A3" w:rsidP="00AA0B4C">
            <w:pPr>
              <w:spacing w:before="0"/>
              <w:cnfStyle w:val="000000000000" w:firstRow="0" w:lastRow="0" w:firstColumn="0" w:lastColumn="0" w:oddVBand="0" w:evenVBand="0" w:oddHBand="0" w:evenHBand="0" w:firstRowFirstColumn="0" w:firstRowLastColumn="0" w:lastRowFirstColumn="0" w:lastRowLastColumn="0"/>
              <w:rPr>
                <w:szCs w:val="20"/>
              </w:rPr>
            </w:pPr>
            <w:r w:rsidRPr="00AD0CE7">
              <w:rPr>
                <w:rFonts w:eastAsia="Verdana"/>
                <w:szCs w:val="20"/>
                <w:lang w:val="en-GB"/>
              </w:rPr>
              <w:t>Deadline for receiving applications</w:t>
            </w:r>
          </w:p>
        </w:tc>
      </w:tr>
      <w:tr w:rsidR="440E69A3" w:rsidRPr="005F3E9F" w14:paraId="1631F0F3" w14:textId="77777777" w:rsidTr="440E69A3">
        <w:tc>
          <w:tcPr>
            <w:cnfStyle w:val="001000000000" w:firstRow="0" w:lastRow="0" w:firstColumn="1" w:lastColumn="0" w:oddVBand="0" w:evenVBand="0" w:oddHBand="0" w:evenHBand="0" w:firstRowFirstColumn="0" w:firstRowLastColumn="0" w:lastRowFirstColumn="0" w:lastRowLastColumn="0"/>
            <w:tcW w:w="2820" w:type="dxa"/>
          </w:tcPr>
          <w:p w14:paraId="1BE2D421" w14:textId="77777777" w:rsidR="440E69A3" w:rsidRPr="00AD0CE7" w:rsidRDefault="440E69A3" w:rsidP="00AA0B4C">
            <w:pPr>
              <w:spacing w:before="0"/>
              <w:rPr>
                <w:b w:val="0"/>
                <w:szCs w:val="20"/>
              </w:rPr>
            </w:pPr>
            <w:r w:rsidRPr="00AD0CE7">
              <w:rPr>
                <w:rFonts w:eastAsia="Verdana"/>
                <w:b w:val="0"/>
                <w:szCs w:val="20"/>
                <w:lang w:val="en-GB"/>
              </w:rPr>
              <w:t>October 31, 2018</w:t>
            </w:r>
          </w:p>
        </w:tc>
        <w:tc>
          <w:tcPr>
            <w:tcW w:w="6030" w:type="dxa"/>
          </w:tcPr>
          <w:p w14:paraId="67F0A68A" w14:textId="77777777" w:rsidR="440E69A3" w:rsidRPr="00AD0CE7" w:rsidRDefault="440E69A3" w:rsidP="00AA0B4C">
            <w:pPr>
              <w:spacing w:before="0"/>
              <w:cnfStyle w:val="000000000000" w:firstRow="0" w:lastRow="0" w:firstColumn="0" w:lastColumn="0" w:oddVBand="0" w:evenVBand="0" w:oddHBand="0" w:evenHBand="0" w:firstRowFirstColumn="0" w:firstRowLastColumn="0" w:lastRowFirstColumn="0" w:lastRowLastColumn="0"/>
              <w:rPr>
                <w:szCs w:val="20"/>
                <w:lang w:val="en-GB"/>
              </w:rPr>
            </w:pPr>
            <w:r w:rsidRPr="00AD0CE7">
              <w:rPr>
                <w:rFonts w:eastAsia="Verdana"/>
                <w:szCs w:val="20"/>
                <w:lang w:val="en-GB"/>
              </w:rPr>
              <w:t>Communication of the evaluation results to applicants</w:t>
            </w:r>
          </w:p>
        </w:tc>
      </w:tr>
      <w:tr w:rsidR="440E69A3" w:rsidRPr="005F3E9F" w14:paraId="5FDCBA75" w14:textId="77777777" w:rsidTr="440E69A3">
        <w:tc>
          <w:tcPr>
            <w:cnfStyle w:val="001000000000" w:firstRow="0" w:lastRow="0" w:firstColumn="1" w:lastColumn="0" w:oddVBand="0" w:evenVBand="0" w:oddHBand="0" w:evenHBand="0" w:firstRowFirstColumn="0" w:firstRowLastColumn="0" w:lastRowFirstColumn="0" w:lastRowLastColumn="0"/>
            <w:tcW w:w="2820" w:type="dxa"/>
          </w:tcPr>
          <w:p w14:paraId="14F55493" w14:textId="77777777" w:rsidR="440E69A3" w:rsidRPr="00AD0CE7" w:rsidRDefault="440E69A3" w:rsidP="00AA0B4C">
            <w:pPr>
              <w:spacing w:before="0"/>
              <w:rPr>
                <w:b w:val="0"/>
                <w:szCs w:val="20"/>
              </w:rPr>
            </w:pPr>
            <w:r w:rsidRPr="00AD0CE7">
              <w:rPr>
                <w:rFonts w:eastAsia="Verdana"/>
                <w:b w:val="0"/>
                <w:szCs w:val="20"/>
                <w:lang w:val="en-GB"/>
              </w:rPr>
              <w:t>December 31, 2018</w:t>
            </w:r>
          </w:p>
        </w:tc>
        <w:tc>
          <w:tcPr>
            <w:tcW w:w="6030" w:type="dxa"/>
          </w:tcPr>
          <w:p w14:paraId="22BA4B05" w14:textId="77777777" w:rsidR="440E69A3" w:rsidRPr="00AD0CE7" w:rsidRDefault="440E69A3" w:rsidP="00AA0B4C">
            <w:pPr>
              <w:spacing w:before="0"/>
              <w:cnfStyle w:val="000000000000" w:firstRow="0" w:lastRow="0" w:firstColumn="0" w:lastColumn="0" w:oddVBand="0" w:evenVBand="0" w:oddHBand="0" w:evenHBand="0" w:firstRowFirstColumn="0" w:firstRowLastColumn="0" w:lastRowFirstColumn="0" w:lastRowLastColumn="0"/>
              <w:rPr>
                <w:szCs w:val="20"/>
                <w:lang w:val="en-GB"/>
              </w:rPr>
            </w:pPr>
            <w:r w:rsidRPr="00AD0CE7">
              <w:rPr>
                <w:rFonts w:eastAsia="Verdana"/>
                <w:szCs w:val="20"/>
                <w:lang w:val="en-GB"/>
              </w:rPr>
              <w:t>Contracting with successful proposals and prepayment</w:t>
            </w:r>
          </w:p>
        </w:tc>
      </w:tr>
      <w:tr w:rsidR="440E69A3" w:rsidRPr="005F3E9F" w14:paraId="0016752C" w14:textId="77777777" w:rsidTr="440E69A3">
        <w:tc>
          <w:tcPr>
            <w:cnfStyle w:val="001000000000" w:firstRow="0" w:lastRow="0" w:firstColumn="1" w:lastColumn="0" w:oddVBand="0" w:evenVBand="0" w:oddHBand="0" w:evenHBand="0" w:firstRowFirstColumn="0" w:firstRowLastColumn="0" w:lastRowFirstColumn="0" w:lastRowLastColumn="0"/>
            <w:tcW w:w="2820" w:type="dxa"/>
          </w:tcPr>
          <w:p w14:paraId="31EA0AD3" w14:textId="77777777" w:rsidR="440E69A3" w:rsidRPr="00AD0CE7" w:rsidRDefault="440E69A3" w:rsidP="00AA0B4C">
            <w:pPr>
              <w:spacing w:before="0"/>
              <w:rPr>
                <w:b w:val="0"/>
                <w:szCs w:val="20"/>
              </w:rPr>
            </w:pPr>
            <w:r w:rsidRPr="00AD0CE7">
              <w:rPr>
                <w:rFonts w:eastAsia="Verdana"/>
                <w:b w:val="0"/>
                <w:szCs w:val="20"/>
                <w:lang w:val="en-GB"/>
              </w:rPr>
              <w:t>January 1, 2019</w:t>
            </w:r>
          </w:p>
        </w:tc>
        <w:tc>
          <w:tcPr>
            <w:tcW w:w="6030" w:type="dxa"/>
          </w:tcPr>
          <w:p w14:paraId="7AADFED7" w14:textId="77777777" w:rsidR="440E69A3" w:rsidRPr="00AD0CE7" w:rsidRDefault="440E69A3" w:rsidP="00AA0B4C">
            <w:pPr>
              <w:spacing w:before="0"/>
              <w:cnfStyle w:val="000000000000" w:firstRow="0" w:lastRow="0" w:firstColumn="0" w:lastColumn="0" w:oddVBand="0" w:evenVBand="0" w:oddHBand="0" w:evenHBand="0" w:firstRowFirstColumn="0" w:firstRowLastColumn="0" w:lastRowFirstColumn="0" w:lastRowLastColumn="0"/>
              <w:rPr>
                <w:szCs w:val="20"/>
                <w:lang w:val="en-GB"/>
              </w:rPr>
            </w:pPr>
            <w:r w:rsidRPr="00AD0CE7">
              <w:rPr>
                <w:rFonts w:eastAsia="Verdana"/>
                <w:szCs w:val="20"/>
                <w:lang w:val="en-GB"/>
              </w:rPr>
              <w:t>Start of new use cases</w:t>
            </w:r>
          </w:p>
        </w:tc>
      </w:tr>
    </w:tbl>
    <w:p w14:paraId="7899BE38" w14:textId="77777777" w:rsidR="00BE0548" w:rsidRDefault="00BE0548" w:rsidP="00BE0548">
      <w:pPr>
        <w:pStyle w:val="Heading1"/>
        <w:rPr>
          <w:lang w:val="en-GB"/>
        </w:rPr>
      </w:pPr>
      <w:bookmarkStart w:id="17" w:name="_Toc497149346"/>
      <w:bookmarkStart w:id="18" w:name="_Ref511382697"/>
      <w:bookmarkStart w:id="19" w:name="_Ref512005209"/>
      <w:bookmarkStart w:id="20" w:name="_Toc515638341"/>
      <w:r w:rsidRPr="440E69A3">
        <w:rPr>
          <w:lang w:val="en-GB"/>
        </w:rPr>
        <w:t>Eligibility criteria</w:t>
      </w:r>
      <w:bookmarkEnd w:id="17"/>
      <w:bookmarkEnd w:id="18"/>
      <w:bookmarkEnd w:id="19"/>
      <w:bookmarkEnd w:id="20"/>
    </w:p>
    <w:p w14:paraId="3D23751D" w14:textId="77777777" w:rsidR="00735557" w:rsidRPr="008B0CE2" w:rsidRDefault="440E69A3" w:rsidP="440E69A3">
      <w:pPr>
        <w:rPr>
          <w:lang w:val="en-GB"/>
        </w:rPr>
      </w:pPr>
      <w:r w:rsidRPr="440E69A3">
        <w:rPr>
          <w:lang w:val="en-GB"/>
        </w:rPr>
        <w:t>In order to be eligible, participants have to comply with the following eligibility criteria:</w:t>
      </w:r>
    </w:p>
    <w:p w14:paraId="1450AA16" w14:textId="6E85E762" w:rsidR="00EB6B68" w:rsidRDefault="00EB6B68" w:rsidP="440E69A3">
      <w:pPr>
        <w:pStyle w:val="ListParagraph"/>
        <w:numPr>
          <w:ilvl w:val="0"/>
          <w:numId w:val="21"/>
        </w:numPr>
        <w:spacing w:before="0" w:after="0" w:line="276" w:lineRule="auto"/>
        <w:rPr>
          <w:lang w:val="en-GB"/>
        </w:rPr>
      </w:pPr>
      <w:r>
        <w:rPr>
          <w:lang w:val="en-GB"/>
        </w:rPr>
        <w:t>Prer</w:t>
      </w:r>
      <w:r w:rsidR="440E69A3" w:rsidRPr="440E69A3">
        <w:rPr>
          <w:lang w:val="en-GB"/>
        </w:rPr>
        <w:t xml:space="preserve">egister </w:t>
      </w:r>
      <w:r>
        <w:rPr>
          <w:lang w:val="en-GB"/>
        </w:rPr>
        <w:t xml:space="preserve">your proposal </w:t>
      </w:r>
      <w:r w:rsidRPr="00EB6B68">
        <w:rPr>
          <w:iCs/>
          <w:lang w:val="en-GB"/>
        </w:rPr>
        <w:t>on</w:t>
      </w:r>
      <w:r w:rsidR="440E69A3" w:rsidRPr="00EB6B68">
        <w:rPr>
          <w:iCs/>
          <w:lang w:val="en-GB"/>
        </w:rPr>
        <w:t xml:space="preserve"> the IoF2020 </w:t>
      </w:r>
      <w:r w:rsidRPr="00EB6B68">
        <w:rPr>
          <w:iCs/>
          <w:lang w:val="en-GB"/>
        </w:rPr>
        <w:t>website</w:t>
      </w:r>
      <w:r w:rsidR="440E69A3" w:rsidRPr="440E69A3">
        <w:rPr>
          <w:lang w:val="en-GB"/>
        </w:rPr>
        <w:t xml:space="preserve"> </w:t>
      </w:r>
      <w:r>
        <w:rPr>
          <w:lang w:val="en-GB"/>
        </w:rPr>
        <w:t>before 31 August 2018 17:00 CET</w:t>
      </w:r>
      <w:r w:rsidR="00A35979">
        <w:rPr>
          <w:lang w:val="en-GB"/>
        </w:rPr>
        <w:t xml:space="preserve"> through the online form on the IoF2020 website (</w:t>
      </w:r>
      <w:hyperlink r:id="rId15" w:history="1">
        <w:r w:rsidR="00A35979" w:rsidRPr="00F856C0">
          <w:rPr>
            <w:rStyle w:val="Hyperlink"/>
            <w:lang w:val="en-GB"/>
          </w:rPr>
          <w:t>www.iof2020.eu/opencall</w:t>
        </w:r>
      </w:hyperlink>
      <w:r w:rsidR="00A35979">
        <w:rPr>
          <w:lang w:val="en-GB"/>
        </w:rPr>
        <w:t>)</w:t>
      </w:r>
      <w:r>
        <w:rPr>
          <w:lang w:val="en-GB"/>
        </w:rPr>
        <w:t>.</w:t>
      </w:r>
      <w:r w:rsidR="00A35979">
        <w:rPr>
          <w:lang w:val="en-GB"/>
        </w:rPr>
        <w:t xml:space="preserve"> </w:t>
      </w:r>
    </w:p>
    <w:p w14:paraId="7599CB95" w14:textId="0594E90C" w:rsidR="00735557" w:rsidRPr="007A5A29" w:rsidRDefault="00EB6B68" w:rsidP="002E0D7C">
      <w:pPr>
        <w:pStyle w:val="ListParagraph"/>
        <w:numPr>
          <w:ilvl w:val="0"/>
          <w:numId w:val="21"/>
        </w:numPr>
        <w:spacing w:before="0" w:after="0" w:line="276" w:lineRule="auto"/>
        <w:rPr>
          <w:lang w:val="en-GB"/>
        </w:rPr>
      </w:pPr>
      <w:r>
        <w:rPr>
          <w:lang w:val="en-GB"/>
        </w:rPr>
        <w:t>S</w:t>
      </w:r>
      <w:r w:rsidR="440E69A3" w:rsidRPr="440E69A3">
        <w:rPr>
          <w:lang w:val="en-GB"/>
        </w:rPr>
        <w:t xml:space="preserve">ubmit </w:t>
      </w:r>
      <w:r>
        <w:rPr>
          <w:lang w:val="en-GB"/>
        </w:rPr>
        <w:t xml:space="preserve">your </w:t>
      </w:r>
      <w:r w:rsidR="440E69A3" w:rsidRPr="440E69A3">
        <w:rPr>
          <w:lang w:val="en-GB"/>
        </w:rPr>
        <w:t>proposal</w:t>
      </w:r>
      <w:r w:rsidR="00D74601">
        <w:rPr>
          <w:lang w:val="en-GB"/>
        </w:rPr>
        <w:t xml:space="preserve"> (in English)</w:t>
      </w:r>
      <w:r w:rsidR="440E69A3" w:rsidRPr="440E69A3">
        <w:rPr>
          <w:lang w:val="en-GB"/>
        </w:rPr>
        <w:t xml:space="preserve"> </w:t>
      </w:r>
      <w:r w:rsidR="440E69A3" w:rsidRPr="00EB6B68">
        <w:rPr>
          <w:b/>
          <w:bCs/>
          <w:lang w:val="en-GB"/>
        </w:rPr>
        <w:t>before 30 September 2018 17:00 CET</w:t>
      </w:r>
      <w:r>
        <w:rPr>
          <w:lang w:val="en-GB"/>
        </w:rPr>
        <w:t xml:space="preserve"> </w:t>
      </w:r>
      <w:r w:rsidR="000A4FA1">
        <w:rPr>
          <w:lang w:val="en-GB"/>
        </w:rPr>
        <w:t xml:space="preserve">through the online submission form </w:t>
      </w:r>
      <w:r w:rsidR="006E2371">
        <w:rPr>
          <w:lang w:val="en-GB"/>
        </w:rPr>
        <w:t xml:space="preserve">on the </w:t>
      </w:r>
      <w:r w:rsidR="002E0D7C">
        <w:rPr>
          <w:lang w:val="en-GB"/>
        </w:rPr>
        <w:t>IoF2020 website</w:t>
      </w:r>
      <w:r w:rsidR="006E2371" w:rsidRPr="002E0D7C">
        <w:rPr>
          <w:lang w:val="en-GB"/>
        </w:rPr>
        <w:t xml:space="preserve"> </w:t>
      </w:r>
      <w:r w:rsidR="002E0D7C" w:rsidRPr="002E0D7C">
        <w:rPr>
          <w:lang w:val="en-GB"/>
        </w:rPr>
        <w:t>(</w:t>
      </w:r>
      <w:hyperlink r:id="rId16" w:history="1">
        <w:r w:rsidR="002E0D7C" w:rsidRPr="002E0D7C">
          <w:rPr>
            <w:rStyle w:val="Hyperlink"/>
            <w:lang w:val="en-GB"/>
          </w:rPr>
          <w:t>www.iof2020.eu/opencall</w:t>
        </w:r>
      </w:hyperlink>
      <w:r w:rsidR="006E2371" w:rsidRPr="002E0D7C">
        <w:rPr>
          <w:lang w:val="en-GB"/>
        </w:rPr>
        <w:t>)</w:t>
      </w:r>
      <w:r w:rsidR="002E0D7C">
        <w:rPr>
          <w:lang w:val="en-GB"/>
        </w:rPr>
        <w:t>.</w:t>
      </w:r>
      <w:r w:rsidR="003F76E7" w:rsidRPr="002E0D7C">
        <w:rPr>
          <w:lang w:val="en-GB"/>
        </w:rPr>
        <w:t xml:space="preserve"> The proposal </w:t>
      </w:r>
      <w:r w:rsidR="000A4FA1" w:rsidRPr="002E0D7C">
        <w:rPr>
          <w:lang w:val="en-GB"/>
        </w:rPr>
        <w:t xml:space="preserve">must </w:t>
      </w:r>
      <w:r w:rsidR="003F76E7" w:rsidRPr="002E0D7C">
        <w:rPr>
          <w:lang w:val="en-GB"/>
        </w:rPr>
        <w:t>be</w:t>
      </w:r>
      <w:r w:rsidR="003F76E7">
        <w:rPr>
          <w:lang w:val="en-GB"/>
        </w:rPr>
        <w:t xml:space="preserve"> structured according the proposal template</w:t>
      </w:r>
      <w:r w:rsidR="00E20E62">
        <w:rPr>
          <w:lang w:val="en-GB"/>
        </w:rPr>
        <w:t>.</w:t>
      </w:r>
      <w:r w:rsidR="00760562">
        <w:rPr>
          <w:lang w:val="en-GB"/>
        </w:rPr>
        <w:t xml:space="preserve"> </w:t>
      </w:r>
      <w:r w:rsidR="00E20E62">
        <w:rPr>
          <w:lang w:val="en-GB"/>
        </w:rPr>
        <w:t>The consortium d</w:t>
      </w:r>
      <w:r w:rsidR="00CF55DA">
        <w:rPr>
          <w:lang w:val="en-GB"/>
        </w:rPr>
        <w:t>eclaration</w:t>
      </w:r>
      <w:r w:rsidR="00E20E62">
        <w:rPr>
          <w:lang w:val="en-GB"/>
        </w:rPr>
        <w:t xml:space="preserve"> must be signed</w:t>
      </w:r>
      <w:r w:rsidR="00760562">
        <w:rPr>
          <w:lang w:val="en-GB"/>
        </w:rPr>
        <w:t xml:space="preserve"> and </w:t>
      </w:r>
      <w:r w:rsidR="00E20E62">
        <w:rPr>
          <w:lang w:val="en-GB"/>
        </w:rPr>
        <w:t>added to the proposal</w:t>
      </w:r>
      <w:r w:rsidR="003F76E7">
        <w:rPr>
          <w:lang w:val="en-GB"/>
        </w:rPr>
        <w:t>.</w:t>
      </w:r>
    </w:p>
    <w:p w14:paraId="2823F8CF" w14:textId="77777777" w:rsidR="008B181A" w:rsidRPr="00AB1D5C" w:rsidRDefault="00AB1D5C" w:rsidP="00C852B1">
      <w:pPr>
        <w:pStyle w:val="ListParagraph"/>
        <w:numPr>
          <w:ilvl w:val="0"/>
          <w:numId w:val="21"/>
        </w:numPr>
        <w:spacing w:before="0" w:after="0" w:line="276" w:lineRule="auto"/>
        <w:rPr>
          <w:lang w:val="en-GB"/>
        </w:rPr>
      </w:pPr>
      <w:r w:rsidRPr="00AB1D5C">
        <w:rPr>
          <w:lang w:val="en-GB"/>
        </w:rPr>
        <w:t xml:space="preserve">A </w:t>
      </w:r>
      <w:r w:rsidR="003F76E7">
        <w:rPr>
          <w:lang w:val="en-GB"/>
        </w:rPr>
        <w:t xml:space="preserve">new </w:t>
      </w:r>
      <w:r w:rsidRPr="00AB1D5C">
        <w:rPr>
          <w:lang w:val="en-GB"/>
        </w:rPr>
        <w:t xml:space="preserve">use case should </w:t>
      </w:r>
      <w:r w:rsidR="003F76E7">
        <w:rPr>
          <w:lang w:val="en-GB"/>
        </w:rPr>
        <w:t>apply</w:t>
      </w:r>
      <w:r w:rsidRPr="00AB1D5C">
        <w:rPr>
          <w:lang w:val="en-GB"/>
        </w:rPr>
        <w:t xml:space="preserve"> </w:t>
      </w:r>
      <w:r w:rsidR="003F76E7">
        <w:rPr>
          <w:lang w:val="en-GB"/>
        </w:rPr>
        <w:t xml:space="preserve">the </w:t>
      </w:r>
      <w:r w:rsidRPr="00AB1D5C">
        <w:rPr>
          <w:lang w:val="en-GB"/>
        </w:rPr>
        <w:t>multi-actor approach, including the entire IoT value chain (</w:t>
      </w:r>
      <w:r w:rsidR="003F76E7">
        <w:rPr>
          <w:lang w:val="en-GB"/>
        </w:rPr>
        <w:t>i.</w:t>
      </w:r>
      <w:r w:rsidR="004759E5">
        <w:rPr>
          <w:lang w:val="en-GB"/>
        </w:rPr>
        <w:t xml:space="preserve">e. </w:t>
      </w:r>
      <w:r w:rsidRPr="00AB1D5C">
        <w:rPr>
          <w:lang w:val="en-GB"/>
        </w:rPr>
        <w:t>technology providers, business integra</w:t>
      </w:r>
      <w:r w:rsidR="004759E5">
        <w:rPr>
          <w:lang w:val="en-GB"/>
        </w:rPr>
        <w:t>tors, end-users) and includes at least 1 </w:t>
      </w:r>
      <w:r w:rsidRPr="00AB1D5C">
        <w:rPr>
          <w:lang w:val="en-GB"/>
        </w:rPr>
        <w:t>SME</w:t>
      </w:r>
      <w:r w:rsidR="00BE0548">
        <w:rPr>
          <w:rStyle w:val="FootnoteReference"/>
          <w:lang w:val="en-GB"/>
        </w:rPr>
        <w:footnoteReference w:id="5"/>
      </w:r>
      <w:r w:rsidRPr="00AB1D5C">
        <w:rPr>
          <w:lang w:val="en-GB"/>
        </w:rPr>
        <w:t>.</w:t>
      </w:r>
      <w:r>
        <w:rPr>
          <w:lang w:val="en-GB"/>
        </w:rPr>
        <w:t xml:space="preserve"> Thus, p</w:t>
      </w:r>
      <w:r w:rsidR="440E69A3" w:rsidRPr="00AB1D5C">
        <w:rPr>
          <w:lang w:val="en-GB"/>
        </w:rPr>
        <w:t>roposals submitted by single parties will not be considered.</w:t>
      </w:r>
    </w:p>
    <w:p w14:paraId="147CEE31" w14:textId="77777777" w:rsidR="00EA0C8F" w:rsidRDefault="00455054" w:rsidP="00681764">
      <w:pPr>
        <w:pStyle w:val="ListParagraph"/>
        <w:numPr>
          <w:ilvl w:val="0"/>
          <w:numId w:val="21"/>
        </w:numPr>
        <w:spacing w:before="0" w:after="0" w:line="276" w:lineRule="auto"/>
        <w:rPr>
          <w:lang w:val="en-GB"/>
        </w:rPr>
      </w:pPr>
      <w:r>
        <w:rPr>
          <w:lang w:val="en-GB"/>
        </w:rPr>
        <w:t>Technology readiness level (TRL): use cases must have a minimum starting TRL of 6 and target TRL of 8-9.</w:t>
      </w:r>
    </w:p>
    <w:p w14:paraId="17CA8660" w14:textId="77777777" w:rsidR="006E3180" w:rsidRDefault="440E69A3" w:rsidP="00681764">
      <w:pPr>
        <w:pStyle w:val="ListParagraph"/>
        <w:numPr>
          <w:ilvl w:val="0"/>
          <w:numId w:val="21"/>
        </w:numPr>
        <w:spacing w:before="0" w:after="0" w:line="276" w:lineRule="auto"/>
        <w:rPr>
          <w:lang w:val="en-GB"/>
        </w:rPr>
      </w:pPr>
      <w:r w:rsidRPr="006E3180">
        <w:rPr>
          <w:lang w:val="en-GB"/>
        </w:rPr>
        <w:lastRenderedPageBreak/>
        <w:t>Each partner in the team should have a substantial input in the project of at least 10% of the total budget.</w:t>
      </w:r>
      <w:r w:rsidR="001B4BB0" w:rsidRPr="006E3180">
        <w:rPr>
          <w:lang w:val="en-GB"/>
        </w:rPr>
        <w:t xml:space="preserve"> Subcontractors can also participate, </w:t>
      </w:r>
      <w:r w:rsidR="006E3180" w:rsidRPr="006E3180">
        <w:rPr>
          <w:lang w:val="en-GB"/>
        </w:rPr>
        <w:t>up to a maximum of 10% of the total budget</w:t>
      </w:r>
      <w:r w:rsidR="001B4BB0" w:rsidRPr="006E3180">
        <w:rPr>
          <w:lang w:val="en-GB"/>
        </w:rPr>
        <w:t>.</w:t>
      </w:r>
    </w:p>
    <w:p w14:paraId="4F91C9AC" w14:textId="3400AAF5" w:rsidR="00F67ECB" w:rsidRPr="00183386" w:rsidRDefault="00455054" w:rsidP="009E3136">
      <w:pPr>
        <w:pStyle w:val="ListParagraph"/>
        <w:numPr>
          <w:ilvl w:val="0"/>
          <w:numId w:val="21"/>
        </w:numPr>
        <w:rPr>
          <w:lang w:val="en-GB"/>
        </w:rPr>
      </w:pPr>
      <w:r>
        <w:rPr>
          <w:lang w:val="en-GB"/>
        </w:rPr>
        <w:t xml:space="preserve">Private partners in the team will receive funding for maximum 70% of the total costs of their contribution in the project. </w:t>
      </w:r>
      <w:r w:rsidRPr="00CC53D3">
        <w:rPr>
          <w:lang w:val="en-GB"/>
        </w:rPr>
        <w:t xml:space="preserve">At least 30% of the costs should be brought in by </w:t>
      </w:r>
      <w:r>
        <w:rPr>
          <w:lang w:val="en-GB"/>
        </w:rPr>
        <w:t>themselves</w:t>
      </w:r>
      <w:r w:rsidRPr="00CC53D3">
        <w:rPr>
          <w:lang w:val="en-GB"/>
        </w:rPr>
        <w:t>.</w:t>
      </w:r>
      <w:r w:rsidR="009E3136" w:rsidRPr="009E3136">
        <w:t xml:space="preserve"> </w:t>
      </w:r>
      <w:r w:rsidR="009E3136">
        <w:t xml:space="preserve">(see H2020 funding rules for Innovation Actions: </w:t>
      </w:r>
      <w:hyperlink r:id="rId17" w:history="1">
        <w:r w:rsidR="00A35979" w:rsidRPr="00F856C0">
          <w:rPr>
            <w:rStyle w:val="Hyperlink"/>
            <w:lang w:val="en-GB"/>
          </w:rPr>
          <w:t>http://ec.europa.eu/research/participants/docs/h2020-funding-guide/grants/applying-for-funding/find-a-call/what-you-need-to-know_en.htm</w:t>
        </w:r>
      </w:hyperlink>
      <w:r w:rsidR="009E3136">
        <w:rPr>
          <w:lang w:val="en-GB"/>
        </w:rPr>
        <w:t>)</w:t>
      </w:r>
      <w:r w:rsidR="00A35979">
        <w:rPr>
          <w:lang w:val="en-GB"/>
        </w:rPr>
        <w:t xml:space="preserve"> </w:t>
      </w:r>
    </w:p>
    <w:p w14:paraId="26F29930" w14:textId="77777777" w:rsidR="00735557" w:rsidRPr="006E3180" w:rsidRDefault="004759E5" w:rsidP="00AB034E">
      <w:pPr>
        <w:pStyle w:val="ListParagraph"/>
        <w:numPr>
          <w:ilvl w:val="0"/>
          <w:numId w:val="21"/>
        </w:numPr>
        <w:spacing w:before="0" w:after="0" w:line="276" w:lineRule="auto"/>
        <w:rPr>
          <w:lang w:val="en-GB"/>
        </w:rPr>
      </w:pPr>
      <w:r w:rsidRPr="006E3180">
        <w:rPr>
          <w:lang w:val="en-GB"/>
        </w:rPr>
        <w:t xml:space="preserve">All partners must be legal entities established and </w:t>
      </w:r>
      <w:r w:rsidR="440E69A3" w:rsidRPr="006E3180">
        <w:rPr>
          <w:lang w:val="en-GB"/>
        </w:rPr>
        <w:t xml:space="preserve">based in </w:t>
      </w:r>
      <w:r w:rsidR="00AB034E" w:rsidRPr="00AB034E">
        <w:rPr>
          <w:lang w:val="en-GB"/>
        </w:rPr>
        <w:t>one of the EU Member States or an H2020 Associated country as defined in H2020 rules for participation</w:t>
      </w:r>
      <w:r w:rsidR="00AB034E">
        <w:rPr>
          <w:rStyle w:val="FootnoteReference"/>
          <w:lang w:val="en-GB"/>
        </w:rPr>
        <w:footnoteReference w:id="6"/>
      </w:r>
      <w:r w:rsidRPr="006E3180">
        <w:rPr>
          <w:lang w:val="en-GB"/>
        </w:rPr>
        <w:t>.</w:t>
      </w:r>
      <w:r w:rsidR="00BE0548" w:rsidRPr="00BE0548">
        <w:rPr>
          <w:lang w:val="en-GB"/>
        </w:rPr>
        <w:t xml:space="preserve"> </w:t>
      </w:r>
      <w:r w:rsidR="00BE0548">
        <w:rPr>
          <w:lang w:val="en-GB"/>
        </w:rPr>
        <w:t>However, end-users outside the EU or associated countries are welcome to be involved as end-users/customers of the proposed solution (e.g. representing stakeholders in the agri-food value chain), while not receiving any budget. It would also be considered positive if such end-users would offer their support (e.g. in terms of person effort, infrastructure, budget) in realising the proposed new use case.</w:t>
      </w:r>
    </w:p>
    <w:p w14:paraId="3DC49FC1" w14:textId="77777777" w:rsidR="00735557" w:rsidRPr="007A5A29" w:rsidRDefault="440E69A3" w:rsidP="440E69A3">
      <w:pPr>
        <w:pStyle w:val="ListParagraph"/>
        <w:numPr>
          <w:ilvl w:val="0"/>
          <w:numId w:val="21"/>
        </w:numPr>
        <w:spacing w:before="0" w:after="0" w:line="276" w:lineRule="auto"/>
        <w:rPr>
          <w:lang w:val="en-GB"/>
        </w:rPr>
      </w:pPr>
      <w:r w:rsidRPr="440E69A3">
        <w:rPr>
          <w:lang w:val="en-GB"/>
        </w:rPr>
        <w:t>Be directly responsible for the preparation, management and execution of the plan.</w:t>
      </w:r>
    </w:p>
    <w:p w14:paraId="3B318D60" w14:textId="77777777" w:rsidR="00310D68" w:rsidRDefault="440E69A3" w:rsidP="00E026A5">
      <w:pPr>
        <w:pStyle w:val="ListParagraph"/>
        <w:numPr>
          <w:ilvl w:val="0"/>
          <w:numId w:val="21"/>
        </w:numPr>
        <w:spacing w:before="0" w:after="0" w:line="276" w:lineRule="auto"/>
        <w:rPr>
          <w:lang w:val="en-GB"/>
        </w:rPr>
      </w:pPr>
      <w:r w:rsidRPr="005F4FF2">
        <w:rPr>
          <w:lang w:val="en-GB"/>
        </w:rPr>
        <w:t xml:space="preserve">Do not receive any </w:t>
      </w:r>
      <w:r w:rsidR="00AB1D5C" w:rsidRPr="005F4FF2">
        <w:rPr>
          <w:lang w:val="en-GB"/>
        </w:rPr>
        <w:t xml:space="preserve">other </w:t>
      </w:r>
      <w:r w:rsidRPr="005F4FF2">
        <w:rPr>
          <w:lang w:val="en-GB"/>
        </w:rPr>
        <w:t>funding for the</w:t>
      </w:r>
      <w:r w:rsidR="00AB1D5C" w:rsidRPr="005F4FF2">
        <w:rPr>
          <w:lang w:val="en-GB"/>
        </w:rPr>
        <w:t xml:space="preserve"> same activities in the project</w:t>
      </w:r>
      <w:r w:rsidRPr="005F4FF2">
        <w:rPr>
          <w:lang w:val="en-GB"/>
        </w:rPr>
        <w:t>.</w:t>
      </w:r>
      <w:r w:rsidR="00AB1D5C" w:rsidRPr="005F4FF2">
        <w:rPr>
          <w:lang w:val="en-GB"/>
        </w:rPr>
        <w:t xml:space="preserve"> </w:t>
      </w:r>
    </w:p>
    <w:p w14:paraId="770962AE" w14:textId="77777777" w:rsidR="005F4FF2" w:rsidRPr="005F4FF2" w:rsidRDefault="005F4FF2" w:rsidP="005F4FF2">
      <w:pPr>
        <w:spacing w:before="0" w:after="0" w:line="276" w:lineRule="auto"/>
        <w:rPr>
          <w:lang w:val="en-GB"/>
        </w:rPr>
      </w:pPr>
    </w:p>
    <w:p w14:paraId="3E1BA000" w14:textId="77777777" w:rsidR="00310D68" w:rsidRPr="009C608B" w:rsidRDefault="00310D68" w:rsidP="00310D68">
      <w:pPr>
        <w:spacing w:before="0" w:after="0" w:line="276" w:lineRule="auto"/>
        <w:rPr>
          <w:lang w:val="en-GB"/>
        </w:rPr>
      </w:pPr>
      <w:r w:rsidRPr="440E69A3">
        <w:rPr>
          <w:lang w:val="en-GB"/>
        </w:rPr>
        <w:t xml:space="preserve">Current IoF2020 beneficiaries are excluded from application. The current IoF2020 beneficiaries will however be able to support the new use cases </w:t>
      </w:r>
      <w:r w:rsidR="00BE0548">
        <w:rPr>
          <w:lang w:val="en-GB"/>
        </w:rPr>
        <w:t xml:space="preserve">with </w:t>
      </w:r>
      <w:r w:rsidRPr="440E69A3">
        <w:rPr>
          <w:lang w:val="en-GB"/>
        </w:rPr>
        <w:t xml:space="preserve">up to 8% of the </w:t>
      </w:r>
      <w:r w:rsidR="002E2562">
        <w:rPr>
          <w:lang w:val="en-GB"/>
        </w:rPr>
        <w:t xml:space="preserve">proposal </w:t>
      </w:r>
      <w:r w:rsidRPr="440E69A3">
        <w:rPr>
          <w:lang w:val="en-GB"/>
        </w:rPr>
        <w:t>budget.</w:t>
      </w:r>
      <w:r>
        <w:rPr>
          <w:lang w:val="en-GB"/>
        </w:rPr>
        <w:t xml:space="preserve"> </w:t>
      </w:r>
      <w:r w:rsidRPr="440E69A3">
        <w:rPr>
          <w:lang w:val="en-GB"/>
        </w:rPr>
        <w:t xml:space="preserve">If you expect an added value by an involvement of the existing IoF2020 partners, please clarify this </w:t>
      </w:r>
      <w:r w:rsidR="00EB6B68">
        <w:rPr>
          <w:lang w:val="en-GB"/>
        </w:rPr>
        <w:t>in your proposal</w:t>
      </w:r>
      <w:r w:rsidR="002E2562">
        <w:rPr>
          <w:lang w:val="en-GB"/>
        </w:rPr>
        <w:t>,</w:t>
      </w:r>
      <w:r w:rsidR="003D10F4">
        <w:rPr>
          <w:lang w:val="en-GB"/>
        </w:rPr>
        <w:t xml:space="preserve"> after agreement with the current IoF2020 beneficiary involved</w:t>
      </w:r>
      <w:r w:rsidRPr="440E69A3">
        <w:rPr>
          <w:lang w:val="en-GB"/>
        </w:rPr>
        <w:t xml:space="preserve">. </w:t>
      </w:r>
      <w:r w:rsidR="00EB6B68">
        <w:rPr>
          <w:lang w:val="en-GB"/>
        </w:rPr>
        <w:t xml:space="preserve">Shortly detail this </w:t>
      </w:r>
      <w:r w:rsidRPr="440E69A3">
        <w:rPr>
          <w:lang w:val="en-GB"/>
        </w:rPr>
        <w:t>with the following:</w:t>
      </w:r>
    </w:p>
    <w:p w14:paraId="44D60454" w14:textId="77777777" w:rsidR="00310D68" w:rsidRDefault="00310D68" w:rsidP="00310D68">
      <w:pPr>
        <w:pStyle w:val="ListParagraph"/>
        <w:numPr>
          <w:ilvl w:val="0"/>
          <w:numId w:val="34"/>
        </w:numPr>
        <w:rPr>
          <w:lang w:val="en-GB"/>
        </w:rPr>
      </w:pPr>
      <w:r w:rsidRPr="440E69A3">
        <w:rPr>
          <w:lang w:val="en-GB"/>
        </w:rPr>
        <w:t>Envisaged type and purpose of involvement of current IoF2020 partners</w:t>
      </w:r>
    </w:p>
    <w:p w14:paraId="6170ECAC" w14:textId="77777777" w:rsidR="00310D68" w:rsidRDefault="00310D68" w:rsidP="00310D68">
      <w:pPr>
        <w:pStyle w:val="ListParagraph"/>
        <w:numPr>
          <w:ilvl w:val="0"/>
          <w:numId w:val="34"/>
        </w:numPr>
        <w:rPr>
          <w:lang w:val="en-GB"/>
        </w:rPr>
      </w:pPr>
      <w:r w:rsidRPr="440E69A3">
        <w:rPr>
          <w:lang w:val="en-GB"/>
        </w:rPr>
        <w:t>Expected amount of effort that would be required</w:t>
      </w:r>
    </w:p>
    <w:p w14:paraId="44345A60" w14:textId="77777777" w:rsidR="00310D68" w:rsidRDefault="00310D68" w:rsidP="00310D68">
      <w:pPr>
        <w:pStyle w:val="ListParagraph"/>
        <w:numPr>
          <w:ilvl w:val="0"/>
          <w:numId w:val="34"/>
        </w:numPr>
        <w:rPr>
          <w:lang w:val="en-GB"/>
        </w:rPr>
      </w:pPr>
      <w:r w:rsidRPr="440E69A3">
        <w:rPr>
          <w:lang w:val="en-GB"/>
        </w:rPr>
        <w:t>Type of results and knowledge that would be requested, also explaining in which way it would be (commercially) used</w:t>
      </w:r>
    </w:p>
    <w:p w14:paraId="277BF130" w14:textId="77777777" w:rsidR="00310D68" w:rsidRPr="009C608B" w:rsidRDefault="00310D68" w:rsidP="00310D68">
      <w:pPr>
        <w:pStyle w:val="ListParagraph"/>
        <w:numPr>
          <w:ilvl w:val="0"/>
          <w:numId w:val="34"/>
        </w:numPr>
        <w:rPr>
          <w:lang w:val="en-GB"/>
        </w:rPr>
      </w:pPr>
      <w:r w:rsidRPr="440E69A3">
        <w:rPr>
          <w:lang w:val="en-GB"/>
        </w:rPr>
        <w:t>Amount of meetings, trips or other activities required by existing partners</w:t>
      </w:r>
    </w:p>
    <w:p w14:paraId="58E08FE2" w14:textId="77777777" w:rsidR="002E3A7D" w:rsidRPr="008B0CE2" w:rsidRDefault="440E69A3" w:rsidP="440E69A3">
      <w:pPr>
        <w:pStyle w:val="Heading1"/>
        <w:rPr>
          <w:lang w:val="en-GB"/>
        </w:rPr>
      </w:pPr>
      <w:bookmarkStart w:id="21" w:name="_Toc497149348"/>
      <w:bookmarkStart w:id="22" w:name="_Ref511382707"/>
      <w:bookmarkStart w:id="23" w:name="_Ref512005211"/>
      <w:bookmarkStart w:id="24" w:name="_Toc515638342"/>
      <w:bookmarkStart w:id="25" w:name="_Toc497149347"/>
      <w:r w:rsidRPr="440E69A3">
        <w:rPr>
          <w:lang w:val="en-GB"/>
        </w:rPr>
        <w:t>Selection criteria</w:t>
      </w:r>
      <w:bookmarkEnd w:id="21"/>
      <w:bookmarkEnd w:id="22"/>
      <w:bookmarkEnd w:id="23"/>
      <w:bookmarkEnd w:id="24"/>
    </w:p>
    <w:p w14:paraId="39FCBBF3" w14:textId="77777777" w:rsidR="005F0CE1" w:rsidRPr="008B0CE2" w:rsidRDefault="00BE0548" w:rsidP="440E69A3">
      <w:pPr>
        <w:rPr>
          <w:lang w:val="en-GB"/>
        </w:rPr>
      </w:pPr>
      <w:r>
        <w:rPr>
          <w:lang w:val="en-GB"/>
        </w:rPr>
        <w:t>I</w:t>
      </w:r>
      <w:r w:rsidR="440E69A3" w:rsidRPr="440E69A3">
        <w:rPr>
          <w:lang w:val="en-GB"/>
        </w:rPr>
        <w:t xml:space="preserve">ndependent external </w:t>
      </w:r>
      <w:r w:rsidR="00DE63E0">
        <w:rPr>
          <w:lang w:val="en-GB"/>
        </w:rPr>
        <w:t>evaluators</w:t>
      </w:r>
      <w:r w:rsidR="440E69A3" w:rsidRPr="440E69A3">
        <w:rPr>
          <w:lang w:val="en-GB"/>
        </w:rPr>
        <w:t xml:space="preserve"> (both business and technical evaluators) will analyse and eval</w:t>
      </w:r>
      <w:r w:rsidR="006E3180">
        <w:rPr>
          <w:lang w:val="en-GB"/>
        </w:rPr>
        <w:t>uate each proposal.</w:t>
      </w:r>
      <w:r w:rsidR="440E69A3" w:rsidRPr="440E69A3">
        <w:rPr>
          <w:lang w:val="en-GB"/>
        </w:rPr>
        <w:t xml:space="preserve"> </w:t>
      </w:r>
      <w:r w:rsidR="007876EE">
        <w:rPr>
          <w:lang w:val="en-GB"/>
        </w:rPr>
        <w:t>Each proposal will</w:t>
      </w:r>
      <w:r w:rsidR="00DE63E0">
        <w:rPr>
          <w:lang w:val="en-GB"/>
        </w:rPr>
        <w:t xml:space="preserve"> be evaluated by one business evaluator and one technical evaluator.</w:t>
      </w:r>
    </w:p>
    <w:p w14:paraId="2FC333DE" w14:textId="77777777" w:rsidR="002E3A7D" w:rsidRDefault="440E69A3" w:rsidP="440E69A3">
      <w:pPr>
        <w:rPr>
          <w:lang w:val="en-GB"/>
        </w:rPr>
      </w:pPr>
      <w:r w:rsidRPr="440E69A3">
        <w:rPr>
          <w:lang w:val="en-GB"/>
        </w:rPr>
        <w:t xml:space="preserve">The criteria for selecting and awarding the best proposals </w:t>
      </w:r>
      <w:r w:rsidR="00F352BF">
        <w:rPr>
          <w:lang w:val="en-GB"/>
        </w:rPr>
        <w:t>are</w:t>
      </w:r>
      <w:r w:rsidRPr="440E69A3">
        <w:rPr>
          <w:lang w:val="en-GB"/>
        </w:rPr>
        <w:t xml:space="preserve">:  </w:t>
      </w:r>
    </w:p>
    <w:p w14:paraId="6EA99646" w14:textId="77777777" w:rsidR="00F352BF" w:rsidRDefault="00CD62DC" w:rsidP="00BE0548">
      <w:pPr>
        <w:pStyle w:val="ListParagraph"/>
        <w:numPr>
          <w:ilvl w:val="0"/>
          <w:numId w:val="42"/>
        </w:numPr>
        <w:rPr>
          <w:lang w:val="en-GB"/>
        </w:rPr>
      </w:pPr>
      <w:r>
        <w:rPr>
          <w:b/>
          <w:lang w:val="en-GB"/>
        </w:rPr>
        <w:t>Suitability of the overall proposal</w:t>
      </w:r>
      <w:r w:rsidR="00F352BF">
        <w:rPr>
          <w:lang w:val="en-GB"/>
        </w:rPr>
        <w:br/>
        <w:t>Concerns the general fitness of the proposal concerning the topic of the IoF2020 call, the composition of the consortium and what will be delivered for the requested budget</w:t>
      </w:r>
      <w:r w:rsidR="00BE0548">
        <w:rPr>
          <w:lang w:val="en-GB"/>
        </w:rPr>
        <w:t>.</w:t>
      </w:r>
    </w:p>
    <w:p w14:paraId="7AF6F855" w14:textId="77777777" w:rsidR="00F352BF" w:rsidRDefault="00F352BF" w:rsidP="00BE0548">
      <w:pPr>
        <w:pStyle w:val="ListParagraph"/>
        <w:numPr>
          <w:ilvl w:val="0"/>
          <w:numId w:val="42"/>
        </w:numPr>
        <w:rPr>
          <w:lang w:val="en-GB"/>
        </w:rPr>
      </w:pPr>
      <w:r w:rsidRPr="00BE0548">
        <w:rPr>
          <w:b/>
          <w:lang w:val="en-GB"/>
        </w:rPr>
        <w:t>Geographical impact: cross-border test beds</w:t>
      </w:r>
      <w:r>
        <w:rPr>
          <w:lang w:val="en-GB"/>
        </w:rPr>
        <w:br/>
        <w:t>Concerns the coverage of the involved stakeholders over different member states, especially test-beds in which the proposed solution is validated and demonstrated</w:t>
      </w:r>
      <w:r w:rsidR="00DD3430">
        <w:rPr>
          <w:lang w:val="en-GB"/>
        </w:rPr>
        <w:t xml:space="preserve">. </w:t>
      </w:r>
      <w:r w:rsidR="009C5CAE">
        <w:rPr>
          <w:lang w:val="en-GB"/>
        </w:rPr>
        <w:t xml:space="preserve">If in new regions existing test beds are already available, it is encouraged to use those. </w:t>
      </w:r>
    </w:p>
    <w:p w14:paraId="6FA1CD49" w14:textId="77777777" w:rsidR="00F352BF" w:rsidRPr="00CD62DC" w:rsidRDefault="00F352BF" w:rsidP="00BE0548">
      <w:pPr>
        <w:pStyle w:val="ListParagraph"/>
        <w:numPr>
          <w:ilvl w:val="0"/>
          <w:numId w:val="42"/>
        </w:numPr>
        <w:rPr>
          <w:lang w:val="en-GB"/>
        </w:rPr>
      </w:pPr>
      <w:r>
        <w:rPr>
          <w:b/>
          <w:lang w:val="en-GB"/>
        </w:rPr>
        <w:t>Business impact: business plan and scalability</w:t>
      </w:r>
      <w:r>
        <w:rPr>
          <w:b/>
          <w:lang w:val="en-GB"/>
        </w:rPr>
        <w:br/>
      </w:r>
      <w:r>
        <w:rPr>
          <w:lang w:val="en-GB"/>
        </w:rPr>
        <w:t>The proposed product or service should be accompanied by a viable business model that is scalable in the future</w:t>
      </w:r>
      <w:r w:rsidR="008B336E">
        <w:rPr>
          <w:lang w:val="en-GB"/>
        </w:rPr>
        <w:t>. Proposals need to confirm that they will provide access to their lessons learnt, best practices, tutorials, guidelines and an overview of the realised solution.</w:t>
      </w:r>
    </w:p>
    <w:p w14:paraId="18E93663" w14:textId="77777777" w:rsidR="00DE3E7B" w:rsidRDefault="00F352BF" w:rsidP="00BE0548">
      <w:pPr>
        <w:pStyle w:val="ListParagraph"/>
        <w:numPr>
          <w:ilvl w:val="0"/>
          <w:numId w:val="42"/>
        </w:numPr>
        <w:rPr>
          <w:lang w:val="en-GB"/>
        </w:rPr>
      </w:pPr>
      <w:r w:rsidRPr="00CD62DC">
        <w:rPr>
          <w:b/>
          <w:lang w:val="en-GB"/>
        </w:rPr>
        <w:lastRenderedPageBreak/>
        <w:t>Technology impact and use of standards</w:t>
      </w:r>
      <w:r w:rsidRPr="00CD62DC">
        <w:rPr>
          <w:b/>
          <w:lang w:val="en-GB"/>
        </w:rPr>
        <w:br/>
      </w:r>
      <w:r>
        <w:rPr>
          <w:lang w:val="en-GB"/>
        </w:rPr>
        <w:t>The proposed product or service must consist of an innovative</w:t>
      </w:r>
      <w:r w:rsidR="00DB3BD3">
        <w:rPr>
          <w:lang w:val="en-GB"/>
        </w:rPr>
        <w:t>, credible IoT concept and make significant use of data</w:t>
      </w:r>
      <w:r w:rsidR="00CD62DC">
        <w:rPr>
          <w:lang w:val="en-GB"/>
        </w:rPr>
        <w:t xml:space="preserve">. Proposals for realising IoT based solutions shall </w:t>
      </w:r>
      <w:r w:rsidR="00994EA4">
        <w:rPr>
          <w:lang w:val="en-GB"/>
        </w:rPr>
        <w:t>demonstrate</w:t>
      </w:r>
    </w:p>
    <w:p w14:paraId="41AD1E6F" w14:textId="6F85D372" w:rsidR="00DE3E7B" w:rsidRDefault="00DE3E7B" w:rsidP="00DE3E7B">
      <w:pPr>
        <w:pStyle w:val="ListParagraph"/>
        <w:numPr>
          <w:ilvl w:val="0"/>
          <w:numId w:val="44"/>
        </w:numPr>
        <w:rPr>
          <w:lang w:val="en-GB"/>
        </w:rPr>
      </w:pPr>
      <w:r>
        <w:rPr>
          <w:lang w:val="en-GB"/>
        </w:rPr>
        <w:t>interoperability,</w:t>
      </w:r>
    </w:p>
    <w:p w14:paraId="31B20965" w14:textId="68A67F8E" w:rsidR="00DE3E7B" w:rsidRDefault="00CD62DC" w:rsidP="00DE3E7B">
      <w:pPr>
        <w:pStyle w:val="ListParagraph"/>
        <w:numPr>
          <w:ilvl w:val="0"/>
          <w:numId w:val="44"/>
        </w:numPr>
        <w:rPr>
          <w:lang w:val="en-GB"/>
        </w:rPr>
      </w:pPr>
      <w:r>
        <w:rPr>
          <w:lang w:val="en-GB"/>
        </w:rPr>
        <w:t>rep</w:t>
      </w:r>
      <w:r w:rsidR="00DE3E7B">
        <w:rPr>
          <w:lang w:val="en-GB"/>
        </w:rPr>
        <w:t>licability,</w:t>
      </w:r>
    </w:p>
    <w:p w14:paraId="68E49A61" w14:textId="77777777" w:rsidR="00DE3E7B" w:rsidRDefault="00CD62DC" w:rsidP="00DE3E7B">
      <w:pPr>
        <w:pStyle w:val="ListParagraph"/>
        <w:numPr>
          <w:ilvl w:val="0"/>
          <w:numId w:val="44"/>
        </w:numPr>
        <w:rPr>
          <w:lang w:val="en-GB"/>
        </w:rPr>
      </w:pPr>
      <w:r>
        <w:rPr>
          <w:lang w:val="en-GB"/>
        </w:rPr>
        <w:t xml:space="preserve">reuse of the envisaged results. </w:t>
      </w:r>
    </w:p>
    <w:p w14:paraId="2D4D65D4" w14:textId="7447285E" w:rsidR="00F352BF" w:rsidRPr="00DE3E7B" w:rsidRDefault="008B336E" w:rsidP="00DE3E7B">
      <w:pPr>
        <w:ind w:left="720"/>
        <w:rPr>
          <w:lang w:val="en-GB"/>
        </w:rPr>
      </w:pPr>
      <w:r w:rsidRPr="00DE3E7B">
        <w:rPr>
          <w:lang w:val="en-GB"/>
        </w:rPr>
        <w:t xml:space="preserve">Results shall be presented to a wider stakeholder audience as well as presenting the results in the IoF2020 related IoT catalogue. </w:t>
      </w:r>
    </w:p>
    <w:p w14:paraId="0D4836AF" w14:textId="77777777" w:rsidR="00F352BF" w:rsidRDefault="00DB3BD3" w:rsidP="00BE0548">
      <w:pPr>
        <w:pStyle w:val="ListParagraph"/>
        <w:numPr>
          <w:ilvl w:val="0"/>
          <w:numId w:val="42"/>
        </w:numPr>
        <w:rPr>
          <w:lang w:val="en-GB"/>
        </w:rPr>
      </w:pPr>
      <w:r w:rsidRPr="00CD62DC">
        <w:rPr>
          <w:b/>
          <w:lang w:val="en-GB"/>
        </w:rPr>
        <w:t>Sustainability impact</w:t>
      </w:r>
      <w:r w:rsidRPr="00DB3BD3">
        <w:rPr>
          <w:lang w:val="en-GB"/>
        </w:rPr>
        <w:br/>
        <w:t xml:space="preserve">IoF2020 has committed itself to </w:t>
      </w:r>
      <w:r w:rsidR="00791570">
        <w:rPr>
          <w:lang w:val="en-GB"/>
        </w:rPr>
        <w:t xml:space="preserve">improvement of sustainability, e.g. by achieving </w:t>
      </w:r>
      <w:r w:rsidRPr="00DB3BD3">
        <w:rPr>
          <w:lang w:val="en-GB"/>
        </w:rPr>
        <w:t>UN Sustainable Development Goals</w:t>
      </w:r>
      <w:r w:rsidR="00791570">
        <w:rPr>
          <w:lang w:val="en-GB"/>
        </w:rPr>
        <w:t>. It should be indicated how the proposal contributes to improving sustainability in a realistic manner.</w:t>
      </w:r>
    </w:p>
    <w:p w14:paraId="266681B0" w14:textId="77777777" w:rsidR="00DB3BD3" w:rsidRPr="00CD62DC" w:rsidRDefault="00DB3BD3" w:rsidP="00BE0548">
      <w:pPr>
        <w:pStyle w:val="ListParagraph"/>
        <w:numPr>
          <w:ilvl w:val="0"/>
          <w:numId w:val="42"/>
        </w:numPr>
        <w:rPr>
          <w:lang w:val="en-GB"/>
        </w:rPr>
      </w:pPr>
      <w:r>
        <w:rPr>
          <w:b/>
          <w:lang w:val="en-GB"/>
        </w:rPr>
        <w:t>Financial impact</w:t>
      </w:r>
      <w:r>
        <w:rPr>
          <w:b/>
          <w:lang w:val="en-GB"/>
        </w:rPr>
        <w:br/>
      </w:r>
      <w:r w:rsidRPr="00CD62DC">
        <w:rPr>
          <w:lang w:val="en-GB"/>
        </w:rPr>
        <w:t>This</w:t>
      </w:r>
      <w:r>
        <w:rPr>
          <w:b/>
          <w:lang w:val="en-GB"/>
        </w:rPr>
        <w:t xml:space="preserve"> </w:t>
      </w:r>
      <w:r w:rsidRPr="00CD62DC">
        <w:rPr>
          <w:lang w:val="en-GB"/>
        </w:rPr>
        <w:t>demonstrates</w:t>
      </w:r>
      <w:r>
        <w:rPr>
          <w:lang w:val="en-GB"/>
        </w:rPr>
        <w:t xml:space="preserve"> financial support from public or private resources either from outside or within the </w:t>
      </w:r>
      <w:r w:rsidR="00CD62DC">
        <w:rPr>
          <w:lang w:val="en-GB"/>
        </w:rPr>
        <w:t xml:space="preserve">proposing </w:t>
      </w:r>
      <w:r>
        <w:rPr>
          <w:lang w:val="en-GB"/>
        </w:rPr>
        <w:t>consortium.</w:t>
      </w:r>
      <w:r w:rsidR="00007878">
        <w:rPr>
          <w:lang w:val="en-GB"/>
        </w:rPr>
        <w:t xml:space="preserve"> Proposers need to provide tangible evidence for the committed external financial support in specific relation to their submitted proposal. General statements or basic funding sources for organisations are not considered as a specific commitment. The related payment transfer needs also to be proven along a potential use case realisation according the envisaged contract </w:t>
      </w:r>
      <w:r w:rsidR="001E542C">
        <w:rPr>
          <w:lang w:val="en-GB"/>
        </w:rPr>
        <w:t>fulfilment</w:t>
      </w:r>
      <w:r w:rsidR="00007878">
        <w:rPr>
          <w:lang w:val="en-GB"/>
        </w:rPr>
        <w:t xml:space="preserve">. The later absence of such financial support could lead to the termination of the contract </w:t>
      </w:r>
      <w:r w:rsidR="001E542C">
        <w:rPr>
          <w:lang w:val="en-GB"/>
        </w:rPr>
        <w:t>and/</w:t>
      </w:r>
      <w:r w:rsidR="00007878">
        <w:rPr>
          <w:lang w:val="en-GB"/>
        </w:rPr>
        <w:t xml:space="preserve">or reduction of related payments. </w:t>
      </w:r>
    </w:p>
    <w:p w14:paraId="4589F38F" w14:textId="05ADD343" w:rsidR="00705952" w:rsidRPr="00705952" w:rsidRDefault="440E69A3" w:rsidP="440E69A3">
      <w:pPr>
        <w:spacing w:before="0" w:after="0" w:line="276" w:lineRule="auto"/>
        <w:rPr>
          <w:lang w:val="en-GB"/>
        </w:rPr>
      </w:pPr>
      <w:r w:rsidRPr="440E69A3">
        <w:rPr>
          <w:lang w:val="en-GB"/>
        </w:rPr>
        <w:t xml:space="preserve">Annex II </w:t>
      </w:r>
      <w:r w:rsidR="00DB3BD3">
        <w:rPr>
          <w:lang w:val="en-GB"/>
        </w:rPr>
        <w:t xml:space="preserve">provides the sheet </w:t>
      </w:r>
      <w:r w:rsidR="00066AD4">
        <w:rPr>
          <w:lang w:val="en-GB"/>
        </w:rPr>
        <w:t xml:space="preserve">with selection criteria </w:t>
      </w:r>
      <w:r w:rsidR="00DB3BD3">
        <w:rPr>
          <w:lang w:val="en-GB"/>
        </w:rPr>
        <w:t>that will be used by the evaluators containing more specific information, also on weighting and rating.</w:t>
      </w:r>
    </w:p>
    <w:p w14:paraId="58519EBF" w14:textId="77777777" w:rsidR="00735557" w:rsidRDefault="440E69A3" w:rsidP="440E69A3">
      <w:pPr>
        <w:pStyle w:val="Heading1"/>
        <w:rPr>
          <w:lang w:val="en-GB"/>
        </w:rPr>
      </w:pPr>
      <w:bookmarkStart w:id="26" w:name="_Ref511382735"/>
      <w:bookmarkStart w:id="27" w:name="_Toc515638343"/>
      <w:r w:rsidRPr="440E69A3">
        <w:rPr>
          <w:lang w:val="en-GB"/>
        </w:rPr>
        <w:t>Funding procedure</w:t>
      </w:r>
      <w:bookmarkEnd w:id="25"/>
      <w:bookmarkEnd w:id="26"/>
      <w:bookmarkEnd w:id="27"/>
    </w:p>
    <w:p w14:paraId="4E43F182" w14:textId="77777777" w:rsidR="00735557" w:rsidRPr="008B0CE2" w:rsidRDefault="00735557" w:rsidP="00AD0CE7">
      <w:pPr>
        <w:pStyle w:val="Heading2"/>
      </w:pPr>
      <w:bookmarkStart w:id="28" w:name="_Toc515638344"/>
      <w:r w:rsidRPr="008B0CE2">
        <w:t>Funding in phases</w:t>
      </w:r>
      <w:bookmarkEnd w:id="28"/>
    </w:p>
    <w:p w14:paraId="1F94E630" w14:textId="77777777" w:rsidR="00735557" w:rsidRPr="008B0CE2" w:rsidRDefault="00386B34" w:rsidP="440E69A3">
      <w:pPr>
        <w:rPr>
          <w:lang w:val="en-GB"/>
        </w:rPr>
      </w:pPr>
      <w:r>
        <w:rPr>
          <w:lang w:val="en-GB"/>
        </w:rPr>
        <w:t xml:space="preserve">The duration of new use cases will normally be 2 years, with a minimum of 1 year. </w:t>
      </w:r>
      <w:r w:rsidR="440E69A3" w:rsidRPr="440E69A3">
        <w:rPr>
          <w:lang w:val="en-GB"/>
        </w:rPr>
        <w:t xml:space="preserve">The contracts will be deliverable-based. The selected proposals will receive funding for a first phase (pre-payment: 40% of total budget). After satisfactory completion of the first (number of) deliverable(s), </w:t>
      </w:r>
      <w:r w:rsidR="440E69A3" w:rsidRPr="00783C85">
        <w:rPr>
          <w:lang w:val="en-GB"/>
        </w:rPr>
        <w:t>i</w:t>
      </w:r>
      <w:r w:rsidR="00F47E53" w:rsidRPr="00783C85">
        <w:rPr>
          <w:lang w:val="en-GB"/>
        </w:rPr>
        <w:t xml:space="preserve">ncluding the interim </w:t>
      </w:r>
      <w:r w:rsidR="440E69A3" w:rsidRPr="00783C85">
        <w:rPr>
          <w:lang w:val="en-GB"/>
        </w:rPr>
        <w:t>report,</w:t>
      </w:r>
      <w:r w:rsidR="440E69A3" w:rsidRPr="440E69A3">
        <w:rPr>
          <w:lang w:val="en-GB"/>
        </w:rPr>
        <w:t xml:space="preserve"> the proposals will get the second payment (30%). After satisfactory completion of the second (number of) deliverable(s), </w:t>
      </w:r>
      <w:r w:rsidR="440E69A3" w:rsidRPr="00783C85">
        <w:rPr>
          <w:lang w:val="en-GB"/>
        </w:rPr>
        <w:t>including the final report,</w:t>
      </w:r>
      <w:r w:rsidR="440E69A3" w:rsidRPr="440E69A3">
        <w:rPr>
          <w:lang w:val="en-GB"/>
        </w:rPr>
        <w:t xml:space="preserve"> the third and last payment (30%) will follow.</w:t>
      </w:r>
    </w:p>
    <w:p w14:paraId="2E4F90BC" w14:textId="77777777" w:rsidR="00454EE2" w:rsidRDefault="00454EE2" w:rsidP="00E605F2">
      <w:pPr>
        <w:rPr>
          <w:lang w:val="en-GB"/>
        </w:rPr>
      </w:pPr>
      <w:r>
        <w:rPr>
          <w:lang w:val="en-GB"/>
        </w:rPr>
        <w:br w:type="page"/>
      </w:r>
    </w:p>
    <w:p w14:paraId="3D705935" w14:textId="77777777" w:rsidR="00735557" w:rsidRDefault="440E69A3" w:rsidP="00152E5F">
      <w:pPr>
        <w:pStyle w:val="Heading1"/>
        <w:rPr>
          <w:lang w:val="en-GB"/>
        </w:rPr>
      </w:pPr>
      <w:bookmarkStart w:id="29" w:name="_Toc515638345"/>
      <w:r w:rsidRPr="00152E5F">
        <w:lastRenderedPageBreak/>
        <w:t>Annex</w:t>
      </w:r>
      <w:r w:rsidRPr="440E69A3">
        <w:rPr>
          <w:lang w:val="en-GB"/>
        </w:rPr>
        <w:t xml:space="preserve"> I</w:t>
      </w:r>
      <w:bookmarkEnd w:id="29"/>
      <w:r w:rsidRPr="440E69A3">
        <w:rPr>
          <w:lang w:val="en-GB"/>
        </w:rPr>
        <w:t xml:space="preserve"> </w:t>
      </w:r>
    </w:p>
    <w:p w14:paraId="1A1B2916" w14:textId="77777777" w:rsidR="00152E5F" w:rsidRDefault="00152E5F" w:rsidP="00152E5F">
      <w:pPr>
        <w:pStyle w:val="Heading2"/>
      </w:pPr>
      <w:bookmarkStart w:id="30" w:name="_Toc515638346"/>
      <w:r w:rsidRPr="440E69A3">
        <w:rPr>
          <w:lang w:val="en-GB"/>
        </w:rPr>
        <w:t>Quick scan for new technologies in IoF2020</w:t>
      </w:r>
      <w:bookmarkEnd w:id="30"/>
    </w:p>
    <w:p w14:paraId="1F03FAE0" w14:textId="77777777" w:rsidR="00C45086" w:rsidRPr="00C45086" w:rsidRDefault="440E69A3" w:rsidP="440E69A3">
      <w:pPr>
        <w:rPr>
          <w:lang w:val="en-GB"/>
        </w:rPr>
      </w:pPr>
      <w:r w:rsidRPr="440E69A3">
        <w:rPr>
          <w:lang w:val="en-GB"/>
        </w:rPr>
        <w:t>Below a list is provided of potential new technologies that could be further explored and deployed by the IoF2020 open call. This is a list of promising new technologies that require further work and offer potential, but not the result of a complete and fully systematic gap analysis.</w:t>
      </w:r>
    </w:p>
    <w:p w14:paraId="76BC1A98" w14:textId="77777777" w:rsidR="00454EE2" w:rsidRPr="008B0CE2" w:rsidRDefault="440E69A3" w:rsidP="440E69A3">
      <w:pPr>
        <w:rPr>
          <w:lang w:val="en-GB"/>
        </w:rPr>
      </w:pPr>
      <w:r w:rsidRPr="440E69A3">
        <w:rPr>
          <w:lang w:val="en-GB"/>
        </w:rPr>
        <w:t xml:space="preserve">The Open Call is not looking for technologies as such, however, new use cases can earn a bonus if they apply innovative technology. </w:t>
      </w:r>
    </w:p>
    <w:p w14:paraId="29553467" w14:textId="77777777" w:rsidR="00454EE2" w:rsidRPr="00783C85" w:rsidRDefault="440E69A3" w:rsidP="00783C85">
      <w:pPr>
        <w:spacing w:before="0" w:line="259" w:lineRule="auto"/>
        <w:jc w:val="both"/>
        <w:rPr>
          <w:lang w:val="en-GB"/>
        </w:rPr>
      </w:pPr>
      <w:r w:rsidRPr="00783C85">
        <w:rPr>
          <w:lang w:val="en-GB"/>
        </w:rPr>
        <w:t xml:space="preserve">IoF2020 already offers a broad catalogue of technologies that allowed the </w:t>
      </w:r>
      <w:r w:rsidR="00D71437">
        <w:rPr>
          <w:lang w:val="en-GB"/>
        </w:rPr>
        <w:t>use cases (</w:t>
      </w:r>
      <w:r w:rsidRPr="00783C85">
        <w:rPr>
          <w:lang w:val="en-GB"/>
        </w:rPr>
        <w:t>UCs</w:t>
      </w:r>
      <w:r w:rsidR="00D71437">
        <w:rPr>
          <w:lang w:val="en-GB"/>
        </w:rPr>
        <w:t>)</w:t>
      </w:r>
      <w:r w:rsidRPr="00783C85">
        <w:rPr>
          <w:lang w:val="en-GB"/>
        </w:rPr>
        <w:t xml:space="preserve"> to develop their first </w:t>
      </w:r>
      <w:r w:rsidR="00D71437">
        <w:rPr>
          <w:lang w:val="en-GB"/>
        </w:rPr>
        <w:t>minimum viable products (</w:t>
      </w:r>
      <w:r w:rsidRPr="00783C85">
        <w:rPr>
          <w:lang w:val="en-GB"/>
        </w:rPr>
        <w:t>MVPs</w:t>
      </w:r>
      <w:r w:rsidR="00D71437">
        <w:rPr>
          <w:lang w:val="en-GB"/>
        </w:rPr>
        <w:t>)</w:t>
      </w:r>
      <w:r w:rsidRPr="00783C85">
        <w:rPr>
          <w:lang w:val="en-GB"/>
        </w:rPr>
        <w:t xml:space="preserve">. Nonetheless, it may be very useful and strategically wise to incorporate technologies that can have a positive impact in multiple UCs and possibly Trials. Thus, these technologies should be horizontally applicable in IoT. Blockchain and big data are only two examples of the above described category. </w:t>
      </w:r>
      <w:r w:rsidR="00783C85">
        <w:rPr>
          <w:lang w:val="en-GB"/>
        </w:rPr>
        <w:t>Here follows a list of possible additional technologies that could be considered as new to the current use case although this list doesn’t pretend to be exhaustive:</w:t>
      </w:r>
      <w:r w:rsidRPr="00783C85">
        <w:rPr>
          <w:lang w:val="en-GB"/>
        </w:rPr>
        <w:t xml:space="preserve"> </w:t>
      </w:r>
    </w:p>
    <w:p w14:paraId="44C81E92" w14:textId="77777777" w:rsidR="00454EE2" w:rsidRPr="008B0CE2" w:rsidRDefault="440E69A3" w:rsidP="440E69A3">
      <w:pPr>
        <w:pStyle w:val="Bullet1"/>
        <w:ind w:left="567"/>
        <w:rPr>
          <w:lang w:val="en-GB"/>
        </w:rPr>
      </w:pPr>
      <w:r w:rsidRPr="440E69A3">
        <w:rPr>
          <w:lang w:val="en-GB"/>
        </w:rPr>
        <w:t>Security by Design, facilitating e.g.</w:t>
      </w:r>
    </w:p>
    <w:p w14:paraId="4C49A7FF" w14:textId="77777777" w:rsidR="00454EE2" w:rsidRPr="008B0CE2" w:rsidRDefault="440E69A3" w:rsidP="440E69A3">
      <w:pPr>
        <w:pStyle w:val="Bullet2"/>
        <w:rPr>
          <w:lang w:val="en-GB"/>
        </w:rPr>
      </w:pPr>
      <w:r w:rsidRPr="440E69A3">
        <w:rPr>
          <w:lang w:val="en-GB"/>
        </w:rPr>
        <w:t>Authorisation &amp; authentication in distributed system architectures</w:t>
      </w:r>
    </w:p>
    <w:p w14:paraId="40BEBD20" w14:textId="77777777" w:rsidR="00454EE2" w:rsidRPr="008B0CE2" w:rsidRDefault="440E69A3" w:rsidP="440E69A3">
      <w:pPr>
        <w:pStyle w:val="Bullet2"/>
        <w:rPr>
          <w:lang w:val="en-GB"/>
        </w:rPr>
      </w:pPr>
      <w:r w:rsidRPr="440E69A3">
        <w:rPr>
          <w:lang w:val="en-GB"/>
        </w:rPr>
        <w:t>Identity and role based management for outdoor solutions serving multi-tenants</w:t>
      </w:r>
    </w:p>
    <w:p w14:paraId="706A4625" w14:textId="77777777" w:rsidR="00454EE2" w:rsidRPr="008B0CE2" w:rsidRDefault="440E69A3" w:rsidP="440E69A3">
      <w:pPr>
        <w:pStyle w:val="Bullet2"/>
        <w:rPr>
          <w:lang w:val="en-GB"/>
        </w:rPr>
      </w:pPr>
      <w:r w:rsidRPr="440E69A3">
        <w:rPr>
          <w:lang w:val="en-GB"/>
        </w:rPr>
        <w:t>Management of access rights to data – taking into account decentralised settings, without central governance and distributed data storage. Allowing information sharing along supply chains, while enabling context based access or revocation of access rights.</w:t>
      </w:r>
    </w:p>
    <w:p w14:paraId="3811EB42" w14:textId="77777777" w:rsidR="00454EE2" w:rsidRPr="008B0CE2" w:rsidRDefault="440E69A3" w:rsidP="440E69A3">
      <w:pPr>
        <w:pStyle w:val="Bullet2"/>
        <w:rPr>
          <w:lang w:val="en-GB"/>
        </w:rPr>
      </w:pPr>
      <w:r w:rsidRPr="440E69A3">
        <w:rPr>
          <w:lang w:val="en-GB"/>
        </w:rPr>
        <w:t>Secure encryption and management of decryption based on ownership of objects – e.g. allowing only the temporary owner of products to access related data</w:t>
      </w:r>
    </w:p>
    <w:p w14:paraId="227B1985" w14:textId="77777777" w:rsidR="00454EE2" w:rsidRPr="008B0CE2" w:rsidRDefault="440E69A3" w:rsidP="440E69A3">
      <w:pPr>
        <w:pStyle w:val="Bullet2"/>
        <w:rPr>
          <w:lang w:val="en-GB"/>
        </w:rPr>
      </w:pPr>
      <w:r w:rsidRPr="440E69A3">
        <w:rPr>
          <w:lang w:val="en-GB"/>
        </w:rPr>
        <w:t>Dynamic presentation of data according to purpose. Allowing to use same data baselines to enable reporting for different purpose – from provision of anonymised data to the detailed reporting e.g. in case of crisis situations. At the same time, building upon existing IoT and agri-food related standards.</w:t>
      </w:r>
    </w:p>
    <w:p w14:paraId="678ED549" w14:textId="77777777" w:rsidR="00454EE2" w:rsidRPr="008B0CE2" w:rsidRDefault="440E69A3" w:rsidP="440E69A3">
      <w:pPr>
        <w:pStyle w:val="Bullet1"/>
        <w:rPr>
          <w:lang w:val="en-GB"/>
        </w:rPr>
      </w:pPr>
      <w:r w:rsidRPr="440E69A3">
        <w:rPr>
          <w:lang w:val="en-GB"/>
        </w:rPr>
        <w:t>Indoor positioning of moving objects</w:t>
      </w:r>
    </w:p>
    <w:p w14:paraId="6D9946C8" w14:textId="77777777" w:rsidR="00454EE2" w:rsidRPr="008B0CE2" w:rsidRDefault="440E69A3" w:rsidP="440E69A3">
      <w:pPr>
        <w:pStyle w:val="Bullet2"/>
        <w:rPr>
          <w:lang w:val="en-GB"/>
        </w:rPr>
      </w:pPr>
      <w:r w:rsidRPr="440E69A3">
        <w:rPr>
          <w:lang w:val="en-GB"/>
        </w:rPr>
        <w:t>Realising indoor positioning as an add-on to outdoor positioning, as those moving objects are both indoor and outdoor. One solution fitting both conditions would also be an alternative.</w:t>
      </w:r>
    </w:p>
    <w:p w14:paraId="2C3D4AC3" w14:textId="77777777" w:rsidR="00454EE2" w:rsidRPr="008B0CE2" w:rsidRDefault="440E69A3" w:rsidP="440E69A3">
      <w:pPr>
        <w:pStyle w:val="Bullet2"/>
        <w:rPr>
          <w:lang w:val="en-GB"/>
        </w:rPr>
      </w:pPr>
      <w:r w:rsidRPr="440E69A3">
        <w:rPr>
          <w:lang w:val="en-GB"/>
        </w:rPr>
        <w:t>Validating communication technology alternatives for indoor settings, while the moving object might also move to an outdoor setting (e.g. a cow in a farm and on the field), taking into account existing solutions (e.g. WiFi, BLE) as well as upcoming innovative solutions.</w:t>
      </w:r>
    </w:p>
    <w:p w14:paraId="4669E817" w14:textId="77777777" w:rsidR="00454EE2" w:rsidRPr="008B0CE2" w:rsidRDefault="440E69A3" w:rsidP="440E69A3">
      <w:pPr>
        <w:pStyle w:val="Bullet1"/>
        <w:rPr>
          <w:lang w:val="en-GB"/>
        </w:rPr>
      </w:pPr>
      <w:r w:rsidRPr="440E69A3">
        <w:rPr>
          <w:lang w:val="en-GB"/>
        </w:rPr>
        <w:t>Long range low power communication</w:t>
      </w:r>
    </w:p>
    <w:p w14:paraId="67F99E9B" w14:textId="77777777" w:rsidR="00454EE2" w:rsidRPr="008B0CE2" w:rsidRDefault="440E69A3" w:rsidP="440E69A3">
      <w:pPr>
        <w:pStyle w:val="Bullet2"/>
        <w:rPr>
          <w:lang w:val="en-GB"/>
        </w:rPr>
      </w:pPr>
      <w:r w:rsidRPr="440E69A3">
        <w:rPr>
          <w:lang w:val="en-GB"/>
        </w:rPr>
        <w:t>Not specific to a certain communication technology (e.g. based on LoRa, SigFox or NB-IoT)</w:t>
      </w:r>
    </w:p>
    <w:p w14:paraId="6E46A1DB" w14:textId="77777777" w:rsidR="00454EE2" w:rsidRPr="008B0CE2" w:rsidRDefault="440E69A3" w:rsidP="440E69A3">
      <w:pPr>
        <w:pStyle w:val="Bullet2"/>
        <w:rPr>
          <w:lang w:val="en-GB"/>
        </w:rPr>
      </w:pPr>
      <w:r w:rsidRPr="440E69A3">
        <w:rPr>
          <w:lang w:val="en-GB"/>
        </w:rPr>
        <w:t>Validating scalability of operation of thousands or even millions of devices at one place</w:t>
      </w:r>
    </w:p>
    <w:p w14:paraId="26BC50F0" w14:textId="77777777" w:rsidR="00454EE2" w:rsidRPr="008B0CE2" w:rsidRDefault="440E69A3" w:rsidP="440E69A3">
      <w:pPr>
        <w:pStyle w:val="Bullet2"/>
        <w:rPr>
          <w:lang w:val="en-GB"/>
        </w:rPr>
      </w:pPr>
      <w:r w:rsidRPr="440E69A3">
        <w:rPr>
          <w:lang w:val="en-GB"/>
        </w:rPr>
        <w:t>Usage under harsh conditions</w:t>
      </w:r>
    </w:p>
    <w:p w14:paraId="2179BCC3" w14:textId="77777777" w:rsidR="00454EE2" w:rsidRPr="008B0CE2" w:rsidRDefault="440E69A3" w:rsidP="440E69A3">
      <w:pPr>
        <w:pStyle w:val="Bullet2"/>
        <w:rPr>
          <w:lang w:val="en-GB"/>
        </w:rPr>
      </w:pPr>
      <w:r w:rsidRPr="440E69A3">
        <w:rPr>
          <w:lang w:val="en-GB"/>
        </w:rPr>
        <w:t>Deployment in the field, able to satisfy demands on environmental protection (e.g. usage of batteries in outdoor settings)</w:t>
      </w:r>
    </w:p>
    <w:p w14:paraId="564B59CF" w14:textId="77777777" w:rsidR="00454EE2" w:rsidRPr="008B0CE2" w:rsidRDefault="440E69A3" w:rsidP="440E69A3">
      <w:pPr>
        <w:pStyle w:val="Bullet1"/>
        <w:rPr>
          <w:lang w:val="en-GB"/>
        </w:rPr>
      </w:pPr>
      <w:r w:rsidRPr="440E69A3">
        <w:rPr>
          <w:lang w:val="en-GB"/>
        </w:rPr>
        <w:t>Outdoor positioning at low power consumption – alternative to classical GPS solutions</w:t>
      </w:r>
    </w:p>
    <w:p w14:paraId="23C1334A" w14:textId="77777777" w:rsidR="00454EE2" w:rsidRPr="008B0CE2" w:rsidRDefault="440E69A3" w:rsidP="440E69A3">
      <w:pPr>
        <w:pStyle w:val="Bullet2"/>
        <w:rPr>
          <w:lang w:val="en-GB"/>
        </w:rPr>
      </w:pPr>
      <w:r w:rsidRPr="440E69A3">
        <w:rPr>
          <w:lang w:val="en-GB"/>
        </w:rPr>
        <w:t>Positioning with higher accuracy, compared to current solutions (e.g. SigFox based positioning is rather not sufficient for precision agriculture or positioning of objects)</w:t>
      </w:r>
    </w:p>
    <w:p w14:paraId="45D97699" w14:textId="77777777" w:rsidR="00454EE2" w:rsidRPr="008B0CE2" w:rsidRDefault="440E69A3" w:rsidP="440E69A3">
      <w:pPr>
        <w:pStyle w:val="Bullet2"/>
        <w:rPr>
          <w:lang w:val="en-GB"/>
        </w:rPr>
      </w:pPr>
      <w:r w:rsidRPr="440E69A3">
        <w:rPr>
          <w:lang w:val="en-GB"/>
        </w:rPr>
        <w:t>Enabling to find an object by position, especially if an object cannot be discovered by sight.</w:t>
      </w:r>
    </w:p>
    <w:p w14:paraId="42A7A7D2" w14:textId="77777777" w:rsidR="00454EE2" w:rsidRPr="008B0CE2" w:rsidRDefault="440E69A3" w:rsidP="440E69A3">
      <w:pPr>
        <w:pStyle w:val="Bullet1"/>
        <w:rPr>
          <w:lang w:val="en-GB"/>
        </w:rPr>
      </w:pPr>
      <w:r w:rsidRPr="440E69A3">
        <w:rPr>
          <w:lang w:val="en-GB"/>
        </w:rPr>
        <w:t>Context-based decision support</w:t>
      </w:r>
    </w:p>
    <w:p w14:paraId="34DDEDC5" w14:textId="77777777" w:rsidR="00454EE2" w:rsidRPr="008B0CE2" w:rsidRDefault="440E69A3" w:rsidP="440E69A3">
      <w:pPr>
        <w:pStyle w:val="Bullet2"/>
        <w:rPr>
          <w:lang w:val="en-GB"/>
        </w:rPr>
      </w:pPr>
      <w:r w:rsidRPr="440E69A3">
        <w:rPr>
          <w:lang w:val="en-GB"/>
        </w:rPr>
        <w:t>Making use of FIWARE context broker based solution, based on standardised interfaces (i.e. NGSI 10)</w:t>
      </w:r>
    </w:p>
    <w:p w14:paraId="40F7672C" w14:textId="77777777" w:rsidR="00454EE2" w:rsidRPr="008B0CE2" w:rsidRDefault="440E69A3" w:rsidP="440E69A3">
      <w:pPr>
        <w:pStyle w:val="Bullet2"/>
        <w:rPr>
          <w:lang w:val="en-GB"/>
        </w:rPr>
      </w:pPr>
      <w:r w:rsidRPr="440E69A3">
        <w:rPr>
          <w:lang w:val="en-GB"/>
        </w:rPr>
        <w:lastRenderedPageBreak/>
        <w:t>Developing context models for specific purpose and an open source based approach for open and free usage</w:t>
      </w:r>
    </w:p>
    <w:p w14:paraId="6E3DDD32" w14:textId="77777777" w:rsidR="00454EE2" w:rsidRPr="008B0CE2" w:rsidRDefault="440E69A3" w:rsidP="440E69A3">
      <w:pPr>
        <w:pStyle w:val="Bullet2"/>
        <w:rPr>
          <w:lang w:val="en-GB"/>
        </w:rPr>
      </w:pPr>
      <w:r w:rsidRPr="440E69A3">
        <w:rPr>
          <w:lang w:val="en-GB"/>
        </w:rPr>
        <w:t>Methodology for context model development and usage</w:t>
      </w:r>
    </w:p>
    <w:p w14:paraId="565BBBAD" w14:textId="77777777" w:rsidR="00454EE2" w:rsidRPr="008B0CE2" w:rsidRDefault="440E69A3" w:rsidP="440E69A3">
      <w:pPr>
        <w:pStyle w:val="Bullet1"/>
        <w:rPr>
          <w:lang w:val="en-GB"/>
        </w:rPr>
      </w:pPr>
      <w:r w:rsidRPr="440E69A3">
        <w:rPr>
          <w:lang w:val="en-GB"/>
        </w:rPr>
        <w:t>Low cost weather stations</w:t>
      </w:r>
    </w:p>
    <w:p w14:paraId="183BC713" w14:textId="77777777" w:rsidR="00454EE2" w:rsidRPr="008B0CE2" w:rsidRDefault="440E69A3" w:rsidP="440E69A3">
      <w:pPr>
        <w:pStyle w:val="Bullet1"/>
        <w:rPr>
          <w:lang w:val="en-GB"/>
        </w:rPr>
      </w:pPr>
      <w:r w:rsidRPr="440E69A3">
        <w:rPr>
          <w:lang w:val="en-GB"/>
        </w:rPr>
        <w:t>Theft protection of IoT devices that are exposed in a rural setting</w:t>
      </w:r>
    </w:p>
    <w:p w14:paraId="4850D49B" w14:textId="77777777" w:rsidR="00454EE2" w:rsidRPr="008B0CE2" w:rsidRDefault="440E69A3" w:rsidP="440E69A3">
      <w:pPr>
        <w:pStyle w:val="Bullet1"/>
        <w:rPr>
          <w:lang w:val="en-GB"/>
        </w:rPr>
      </w:pPr>
      <w:r w:rsidRPr="440E69A3">
        <w:rPr>
          <w:lang w:val="en-GB"/>
        </w:rPr>
        <w:t>Peer-to-peer networks in rural settings for local data exchange, allowing larger data volume (e.g. compared to LoRa solutions) and trusted connections.</w:t>
      </w:r>
    </w:p>
    <w:p w14:paraId="5FF91AB2" w14:textId="77777777" w:rsidR="00454EE2" w:rsidRPr="008B0CE2" w:rsidRDefault="440E69A3" w:rsidP="440E69A3">
      <w:pPr>
        <w:pStyle w:val="Bullet1"/>
        <w:rPr>
          <w:lang w:val="en-GB"/>
        </w:rPr>
      </w:pPr>
      <w:r w:rsidRPr="440E69A3">
        <w:rPr>
          <w:lang w:val="en-GB"/>
        </w:rPr>
        <w:t>Realising a MEMS based sensor and actuator system for precision farming in a real world setting</w:t>
      </w:r>
    </w:p>
    <w:p w14:paraId="7281F714" w14:textId="77777777" w:rsidR="00454EE2" w:rsidRPr="008B0CE2" w:rsidRDefault="440E69A3" w:rsidP="440E69A3">
      <w:pPr>
        <w:pStyle w:val="Bullet2"/>
        <w:rPr>
          <w:lang w:val="en-GB"/>
        </w:rPr>
      </w:pPr>
      <w:r w:rsidRPr="440E69A3">
        <w:rPr>
          <w:lang w:val="en-GB"/>
        </w:rPr>
        <w:t xml:space="preserve">Development </w:t>
      </w:r>
      <w:r w:rsidR="00152E5F">
        <w:rPr>
          <w:lang w:val="en-GB"/>
        </w:rPr>
        <w:t xml:space="preserve">and validation </w:t>
      </w:r>
      <w:r w:rsidRPr="440E69A3">
        <w:rPr>
          <w:lang w:val="en-GB"/>
        </w:rPr>
        <w:t>of a business model canvas</w:t>
      </w:r>
    </w:p>
    <w:p w14:paraId="7EF0A0FD" w14:textId="77777777" w:rsidR="00454EE2" w:rsidRPr="008B0CE2" w:rsidRDefault="440E69A3" w:rsidP="440E69A3">
      <w:pPr>
        <w:pStyle w:val="Bullet2"/>
        <w:rPr>
          <w:lang w:val="en-GB"/>
        </w:rPr>
      </w:pPr>
      <w:r w:rsidRPr="440E69A3">
        <w:rPr>
          <w:lang w:val="en-GB"/>
        </w:rPr>
        <w:t>Aiming at a tangible solution, while including the required agricultural knowledge base for smart control</w:t>
      </w:r>
    </w:p>
    <w:p w14:paraId="705D0B4F" w14:textId="77777777" w:rsidR="00454EE2" w:rsidRPr="008B0CE2" w:rsidRDefault="440E69A3" w:rsidP="440E69A3">
      <w:pPr>
        <w:pStyle w:val="Bullet1"/>
        <w:rPr>
          <w:lang w:val="en-GB"/>
        </w:rPr>
      </w:pPr>
      <w:r w:rsidRPr="440E69A3">
        <w:rPr>
          <w:lang w:val="en-GB"/>
        </w:rPr>
        <w:t>Communication between FMIS and machines of the farmer.</w:t>
      </w:r>
    </w:p>
    <w:p w14:paraId="3C87CA37" w14:textId="77777777" w:rsidR="00454EE2" w:rsidRPr="008B0CE2" w:rsidRDefault="440E69A3" w:rsidP="440E69A3">
      <w:pPr>
        <w:pStyle w:val="Bullet2"/>
        <w:rPr>
          <w:lang w:val="en-GB"/>
        </w:rPr>
      </w:pPr>
      <w:r w:rsidRPr="440E69A3">
        <w:rPr>
          <w:lang w:val="en-GB"/>
        </w:rPr>
        <w:t>Based on ISOBUS approach developed in IoF2020 use case 1.4 (Farm Machine Interoperability)</w:t>
      </w:r>
    </w:p>
    <w:p w14:paraId="406564D7" w14:textId="77777777" w:rsidR="00454EE2" w:rsidRPr="008B0CE2" w:rsidRDefault="440E69A3" w:rsidP="440E69A3">
      <w:pPr>
        <w:pStyle w:val="Bullet2"/>
        <w:rPr>
          <w:lang w:val="en-GB"/>
        </w:rPr>
      </w:pPr>
      <w:r w:rsidRPr="440E69A3">
        <w:rPr>
          <w:lang w:val="en-GB"/>
        </w:rPr>
        <w:t>Involving visualisation of real-time data from machines</w:t>
      </w:r>
    </w:p>
    <w:p w14:paraId="0CDA632D" w14:textId="77777777" w:rsidR="00454EE2" w:rsidRPr="008B0CE2" w:rsidRDefault="440E69A3" w:rsidP="440E69A3">
      <w:pPr>
        <w:pStyle w:val="Bullet2"/>
        <w:rPr>
          <w:lang w:val="en-GB"/>
        </w:rPr>
      </w:pPr>
      <w:r w:rsidRPr="440E69A3">
        <w:rPr>
          <w:lang w:val="en-GB"/>
        </w:rPr>
        <w:t>Validating the usage with different types of FMIS and machinery from different agricultural equipment manufacturers</w:t>
      </w:r>
    </w:p>
    <w:p w14:paraId="311B6B5F" w14:textId="77777777" w:rsidR="00454EE2" w:rsidRPr="008B0CE2" w:rsidRDefault="440E69A3" w:rsidP="440E69A3">
      <w:pPr>
        <w:pStyle w:val="Bullet2"/>
        <w:rPr>
          <w:lang w:val="en-GB"/>
        </w:rPr>
      </w:pPr>
      <w:r w:rsidRPr="440E69A3">
        <w:rPr>
          <w:lang w:val="en-GB"/>
        </w:rPr>
        <w:t>Validating the usage with a large amount of farmers also in situation of sharing machinery by numerous farmers using FMIS from different software providers</w:t>
      </w:r>
    </w:p>
    <w:p w14:paraId="03F2F3EE" w14:textId="77777777" w:rsidR="00454EE2" w:rsidRDefault="440E69A3" w:rsidP="440E69A3">
      <w:pPr>
        <w:pStyle w:val="Bullet1"/>
        <w:rPr>
          <w:lang w:val="en-GB"/>
        </w:rPr>
      </w:pPr>
      <w:r w:rsidRPr="440E69A3">
        <w:rPr>
          <w:lang w:val="en-GB"/>
        </w:rPr>
        <w:t>IoT based solution, generating big data and making use of the data with machine learning algorithms</w:t>
      </w:r>
    </w:p>
    <w:p w14:paraId="1A84B1D4" w14:textId="77777777" w:rsidR="00454EE2" w:rsidRPr="008B0CE2" w:rsidRDefault="440E69A3" w:rsidP="440E69A3">
      <w:pPr>
        <w:pStyle w:val="Bullet2"/>
        <w:rPr>
          <w:lang w:val="en-GB"/>
        </w:rPr>
      </w:pPr>
      <w:r w:rsidRPr="440E69A3">
        <w:rPr>
          <w:lang w:val="en-GB"/>
        </w:rPr>
        <w:t>Realising a tangible solution based on a real world setting</w:t>
      </w:r>
    </w:p>
    <w:p w14:paraId="6FA6C69D" w14:textId="77777777" w:rsidR="00454EE2" w:rsidRPr="008B0CE2" w:rsidRDefault="440E69A3" w:rsidP="440E69A3">
      <w:pPr>
        <w:pStyle w:val="Bullet2"/>
        <w:rPr>
          <w:lang w:val="en-GB"/>
        </w:rPr>
      </w:pPr>
      <w:r w:rsidRPr="440E69A3">
        <w:rPr>
          <w:lang w:val="en-GB"/>
        </w:rPr>
        <w:t>High focus on usability and exploitation of the knowledge e.g. for precision farming.</w:t>
      </w:r>
    </w:p>
    <w:p w14:paraId="6C1E6281" w14:textId="77777777" w:rsidR="00454EE2" w:rsidRDefault="440E69A3" w:rsidP="440E69A3">
      <w:pPr>
        <w:pStyle w:val="Bullet1"/>
        <w:rPr>
          <w:lang w:val="en-GB"/>
        </w:rPr>
      </w:pPr>
      <w:r w:rsidRPr="440E69A3">
        <w:rPr>
          <w:lang w:val="en-GB"/>
        </w:rPr>
        <w:t>IoT Marketplace Innovations</w:t>
      </w:r>
    </w:p>
    <w:p w14:paraId="64B5D73D" w14:textId="77777777" w:rsidR="00454EE2" w:rsidRDefault="00454EE2" w:rsidP="00454EE2">
      <w:pPr>
        <w:rPr>
          <w:lang w:val="en-GB"/>
        </w:rPr>
      </w:pPr>
    </w:p>
    <w:p w14:paraId="636F787C" w14:textId="77777777" w:rsidR="00066470" w:rsidRDefault="00066470">
      <w:pPr>
        <w:spacing w:before="0" w:after="0"/>
        <w:rPr>
          <w:lang w:val="en-GB"/>
        </w:rPr>
        <w:sectPr w:rsidR="00066470" w:rsidSect="0018551C">
          <w:headerReference w:type="default" r:id="rId18"/>
          <w:footerReference w:type="even" r:id="rId19"/>
          <w:footerReference w:type="default" r:id="rId20"/>
          <w:footerReference w:type="first" r:id="rId21"/>
          <w:pgSz w:w="11900" w:h="16840"/>
          <w:pgMar w:top="2245" w:right="1417" w:bottom="1417" w:left="1417" w:header="708" w:footer="708" w:gutter="0"/>
          <w:cols w:space="708"/>
          <w:docGrid w:linePitch="360"/>
        </w:sectPr>
      </w:pPr>
    </w:p>
    <w:p w14:paraId="466E2537" w14:textId="77777777" w:rsidR="004A5BAE" w:rsidRPr="004A5BAE" w:rsidRDefault="00152E5F" w:rsidP="00152E5F">
      <w:pPr>
        <w:pStyle w:val="Heading2"/>
      </w:pPr>
      <w:bookmarkStart w:id="31" w:name="_Toc515638347"/>
      <w:bookmarkStart w:id="32" w:name="_Ref507184166"/>
      <w:r w:rsidRPr="440E69A3">
        <w:lastRenderedPageBreak/>
        <w:t>Main Characteristics</w:t>
      </w:r>
      <w:r>
        <w:t xml:space="preserve"> of the current IoF2020 Use Cases</w:t>
      </w:r>
      <w:bookmarkEnd w:id="31"/>
    </w:p>
    <w:p w14:paraId="0A9677D0" w14:textId="77777777" w:rsidR="004A5BAE" w:rsidRPr="004A5BAE" w:rsidRDefault="440E69A3" w:rsidP="440E69A3">
      <w:pPr>
        <w:pStyle w:val="Caption"/>
        <w:rPr>
          <w:i w:val="0"/>
          <w:iCs w:val="0"/>
          <w:lang w:val="en-GB"/>
        </w:rPr>
      </w:pPr>
      <w:r w:rsidRPr="440E69A3">
        <w:rPr>
          <w:i w:val="0"/>
          <w:iCs w:val="0"/>
          <w:lang w:val="en-GB"/>
        </w:rPr>
        <w:t xml:space="preserve">IoF2020 encourages proposers to learn from the use case results that were delivered in the first quarter of 2018 as well as to join the series of events with IoF2020 partners to discuss collaboration potentials with existing use cases in detail. </w:t>
      </w:r>
    </w:p>
    <w:p w14:paraId="497F2F51" w14:textId="77777777" w:rsidR="004A5BAE" w:rsidRPr="004A5BAE" w:rsidRDefault="440E69A3" w:rsidP="440E69A3">
      <w:pPr>
        <w:pStyle w:val="Caption"/>
        <w:rPr>
          <w:i w:val="0"/>
          <w:iCs w:val="0"/>
          <w:lang w:val="en-GB"/>
        </w:rPr>
      </w:pPr>
      <w:r w:rsidRPr="440E69A3">
        <w:rPr>
          <w:i w:val="0"/>
          <w:iCs w:val="0"/>
          <w:lang w:val="en-GB"/>
        </w:rPr>
        <w:t>The following Table 1 provides and overview of the 19 use cases, sorted by the five trials. It shortly outlines the application areas addressed, the agri-food chain roles and the countries involved. More information about the use cases can be found at the IoF2020 website</w:t>
      </w:r>
      <w:r w:rsidR="00152E5F">
        <w:rPr>
          <w:i w:val="0"/>
          <w:iCs w:val="0"/>
          <w:lang w:val="en-GB"/>
        </w:rPr>
        <w:t xml:space="preserve"> (</w:t>
      </w:r>
      <w:r w:rsidR="00152E5F" w:rsidRPr="00152E5F">
        <w:rPr>
          <w:i w:val="0"/>
          <w:iCs w:val="0"/>
          <w:lang w:val="en-GB"/>
        </w:rPr>
        <w:t>https://iof2020.eu/trials</w:t>
      </w:r>
      <w:r w:rsidRPr="440E69A3">
        <w:rPr>
          <w:i w:val="0"/>
          <w:iCs w:val="0"/>
          <w:lang w:val="en-GB"/>
        </w:rPr>
        <w:t>).</w:t>
      </w:r>
    </w:p>
    <w:p w14:paraId="2F471E94" w14:textId="77777777" w:rsidR="004A5BAE" w:rsidRDefault="004A5BAE" w:rsidP="00066470">
      <w:pPr>
        <w:pStyle w:val="Caption"/>
        <w:rPr>
          <w:lang w:val="en-GB"/>
        </w:rPr>
      </w:pPr>
    </w:p>
    <w:p w14:paraId="566CD9AC" w14:textId="3EC5C391" w:rsidR="00066470" w:rsidRPr="00C5403D" w:rsidRDefault="00066470" w:rsidP="440E69A3">
      <w:pPr>
        <w:pStyle w:val="Caption"/>
        <w:rPr>
          <w:lang w:val="en-GB"/>
        </w:rPr>
      </w:pPr>
      <w:bookmarkStart w:id="33" w:name="_Ref511383083"/>
      <w:r w:rsidRPr="00C5403D">
        <w:rPr>
          <w:lang w:val="en-GB"/>
        </w:rPr>
        <w:t xml:space="preserve">Table </w:t>
      </w:r>
      <w:r>
        <w:fldChar w:fldCharType="begin"/>
      </w:r>
      <w:r w:rsidRPr="00C5403D">
        <w:rPr>
          <w:lang w:val="en-GB"/>
        </w:rPr>
        <w:instrText xml:space="preserve"> SEQ Table \* ARABIC </w:instrText>
      </w:r>
      <w:r>
        <w:fldChar w:fldCharType="separate"/>
      </w:r>
      <w:r w:rsidR="00AD0CE7">
        <w:rPr>
          <w:noProof/>
          <w:lang w:val="en-GB"/>
        </w:rPr>
        <w:t>1</w:t>
      </w:r>
      <w:r>
        <w:fldChar w:fldCharType="end"/>
      </w:r>
      <w:bookmarkEnd w:id="32"/>
      <w:bookmarkEnd w:id="33"/>
      <w:r w:rsidRPr="00C5403D">
        <w:rPr>
          <w:lang w:val="en-GB"/>
        </w:rPr>
        <w:t xml:space="preserve"> The IoF2020 Trials and Use Cases divided over several EU countries</w:t>
      </w:r>
    </w:p>
    <w:tbl>
      <w:tblPr>
        <w:tblStyle w:val="LightList-Accent1"/>
        <w:tblW w:w="13061" w:type="dxa"/>
        <w:tblLook w:val="0400" w:firstRow="0" w:lastRow="0" w:firstColumn="0" w:lastColumn="0" w:noHBand="0" w:noVBand="1"/>
      </w:tblPr>
      <w:tblGrid>
        <w:gridCol w:w="580"/>
        <w:gridCol w:w="482"/>
        <w:gridCol w:w="1199"/>
        <w:gridCol w:w="684"/>
        <w:gridCol w:w="957"/>
        <w:gridCol w:w="3891"/>
        <w:gridCol w:w="1948"/>
        <w:gridCol w:w="1667"/>
        <w:gridCol w:w="1653"/>
      </w:tblGrid>
      <w:tr w:rsidR="00066470" w:rsidRPr="00A9724C" w14:paraId="272F54CB" w14:textId="77777777" w:rsidTr="440E69A3">
        <w:trPr>
          <w:tblHeader/>
        </w:trPr>
        <w:tc>
          <w:tcPr>
            <w:tcW w:w="580" w:type="dxa"/>
          </w:tcPr>
          <w:p w14:paraId="28E78762" w14:textId="77777777" w:rsidR="00066470" w:rsidRPr="00A9724C" w:rsidRDefault="440E69A3" w:rsidP="440E69A3">
            <w:pPr>
              <w:pStyle w:val="TableTextleft"/>
              <w:rPr>
                <w:rStyle w:val="Strong"/>
              </w:rPr>
            </w:pPr>
            <w:r w:rsidRPr="440E69A3">
              <w:rPr>
                <w:rStyle w:val="Strong"/>
              </w:rPr>
              <w:t>Trial</w:t>
            </w:r>
          </w:p>
        </w:tc>
        <w:tc>
          <w:tcPr>
            <w:tcW w:w="482" w:type="dxa"/>
          </w:tcPr>
          <w:p w14:paraId="554183A8" w14:textId="77777777" w:rsidR="00066470" w:rsidRPr="00A9724C" w:rsidRDefault="440E69A3" w:rsidP="440E69A3">
            <w:pPr>
              <w:pStyle w:val="TableTextleft"/>
              <w:rPr>
                <w:rStyle w:val="Strong"/>
              </w:rPr>
            </w:pPr>
            <w:r w:rsidRPr="440E69A3">
              <w:rPr>
                <w:rStyle w:val="Strong"/>
              </w:rPr>
              <w:t>UC</w:t>
            </w:r>
          </w:p>
        </w:tc>
        <w:tc>
          <w:tcPr>
            <w:tcW w:w="1883" w:type="dxa"/>
            <w:gridSpan w:val="2"/>
          </w:tcPr>
          <w:p w14:paraId="4D64A1B1" w14:textId="77777777" w:rsidR="00066470" w:rsidRPr="00A9724C" w:rsidRDefault="440E69A3" w:rsidP="440E69A3">
            <w:pPr>
              <w:pStyle w:val="TableTextleft"/>
              <w:rPr>
                <w:b/>
                <w:bCs/>
              </w:rPr>
            </w:pPr>
            <w:r w:rsidRPr="440E69A3">
              <w:rPr>
                <w:b/>
                <w:bCs/>
              </w:rPr>
              <w:t>Name</w:t>
            </w:r>
          </w:p>
        </w:tc>
        <w:tc>
          <w:tcPr>
            <w:tcW w:w="4848" w:type="dxa"/>
            <w:gridSpan w:val="2"/>
          </w:tcPr>
          <w:p w14:paraId="289BDF17" w14:textId="77777777" w:rsidR="00066470" w:rsidRPr="00A9724C" w:rsidRDefault="440E69A3" w:rsidP="440E69A3">
            <w:pPr>
              <w:pStyle w:val="TableTextleft"/>
              <w:rPr>
                <w:b/>
                <w:bCs/>
              </w:rPr>
            </w:pPr>
            <w:r w:rsidRPr="440E69A3">
              <w:rPr>
                <w:b/>
                <w:bCs/>
              </w:rPr>
              <w:t>Short Description</w:t>
            </w:r>
          </w:p>
        </w:tc>
        <w:tc>
          <w:tcPr>
            <w:tcW w:w="1948" w:type="dxa"/>
          </w:tcPr>
          <w:p w14:paraId="7ECA3C62" w14:textId="77777777" w:rsidR="00066470" w:rsidRPr="00A9724C" w:rsidRDefault="440E69A3" w:rsidP="440E69A3">
            <w:pPr>
              <w:pStyle w:val="TableTextleft"/>
              <w:rPr>
                <w:b/>
                <w:bCs/>
              </w:rPr>
            </w:pPr>
            <w:r w:rsidRPr="440E69A3">
              <w:rPr>
                <w:b/>
                <w:bCs/>
              </w:rPr>
              <w:t>Application Areas Addressed</w:t>
            </w:r>
          </w:p>
        </w:tc>
        <w:tc>
          <w:tcPr>
            <w:tcW w:w="1667" w:type="dxa"/>
          </w:tcPr>
          <w:p w14:paraId="2F7B834C" w14:textId="77777777" w:rsidR="00066470" w:rsidRPr="00A9724C" w:rsidRDefault="440E69A3" w:rsidP="440E69A3">
            <w:pPr>
              <w:pStyle w:val="TableTextleft"/>
              <w:rPr>
                <w:b/>
                <w:bCs/>
              </w:rPr>
            </w:pPr>
            <w:r w:rsidRPr="440E69A3">
              <w:rPr>
                <w:b/>
                <w:bCs/>
              </w:rPr>
              <w:t>Chain Roles</w:t>
            </w:r>
          </w:p>
        </w:tc>
        <w:tc>
          <w:tcPr>
            <w:tcW w:w="1653" w:type="dxa"/>
          </w:tcPr>
          <w:p w14:paraId="3068D2A7" w14:textId="77777777" w:rsidR="00066470" w:rsidRPr="00A9724C" w:rsidRDefault="00066470" w:rsidP="440E69A3">
            <w:pPr>
              <w:pStyle w:val="TableTextleft"/>
              <w:rPr>
                <w:b/>
                <w:bCs/>
              </w:rPr>
            </w:pPr>
            <w:r w:rsidRPr="440E69A3">
              <w:rPr>
                <w:b/>
                <w:bCs/>
              </w:rPr>
              <w:t>Countries</w:t>
            </w:r>
            <w:r w:rsidRPr="440E69A3">
              <w:rPr>
                <w:rStyle w:val="FootnoteReference"/>
                <w:b/>
                <w:bCs/>
              </w:rPr>
              <w:footnoteReference w:id="7"/>
            </w:r>
          </w:p>
        </w:tc>
      </w:tr>
      <w:tr w:rsidR="00066470" w:rsidRPr="005F3E9F" w14:paraId="4720E1C2" w14:textId="77777777" w:rsidTr="440E69A3">
        <w:trPr>
          <w:cnfStyle w:val="000000100000" w:firstRow="0" w:lastRow="0" w:firstColumn="0" w:lastColumn="0" w:oddVBand="0" w:evenVBand="0" w:oddHBand="1" w:evenHBand="0" w:firstRowFirstColumn="0" w:firstRowLastColumn="0" w:lastRowFirstColumn="0" w:lastRowLastColumn="0"/>
        </w:trPr>
        <w:tc>
          <w:tcPr>
            <w:tcW w:w="580" w:type="dxa"/>
            <w:shd w:val="clear" w:color="auto" w:fill="92D050"/>
          </w:tcPr>
          <w:p w14:paraId="5DD4B4FA" w14:textId="77777777" w:rsidR="00066470" w:rsidRPr="00A9724C" w:rsidRDefault="00066470" w:rsidP="00066470">
            <w:pPr>
              <w:pStyle w:val="TableTextleft"/>
              <w:rPr>
                <w:b/>
              </w:rPr>
            </w:pPr>
          </w:p>
        </w:tc>
        <w:tc>
          <w:tcPr>
            <w:tcW w:w="1681" w:type="dxa"/>
            <w:gridSpan w:val="2"/>
            <w:shd w:val="clear" w:color="auto" w:fill="92D050"/>
          </w:tcPr>
          <w:p w14:paraId="442FD4BB" w14:textId="77777777" w:rsidR="00066470" w:rsidRPr="00A9724C" w:rsidRDefault="00066470" w:rsidP="00066470">
            <w:pPr>
              <w:pStyle w:val="TableTextleft"/>
              <w:rPr>
                <w:b/>
              </w:rPr>
            </w:pPr>
          </w:p>
        </w:tc>
        <w:tc>
          <w:tcPr>
            <w:tcW w:w="1641" w:type="dxa"/>
            <w:gridSpan w:val="2"/>
            <w:shd w:val="clear" w:color="auto" w:fill="92D050"/>
          </w:tcPr>
          <w:p w14:paraId="7A00D1B6" w14:textId="77777777" w:rsidR="00066470" w:rsidRPr="00A9724C" w:rsidRDefault="00066470" w:rsidP="00066470">
            <w:pPr>
              <w:pStyle w:val="TableTextleft"/>
              <w:rPr>
                <w:b/>
              </w:rPr>
            </w:pPr>
          </w:p>
        </w:tc>
        <w:tc>
          <w:tcPr>
            <w:tcW w:w="9159" w:type="dxa"/>
            <w:gridSpan w:val="4"/>
            <w:shd w:val="clear" w:color="auto" w:fill="92D050"/>
          </w:tcPr>
          <w:p w14:paraId="0C7A33C6" w14:textId="77777777" w:rsidR="00066470" w:rsidRPr="00A9724C" w:rsidRDefault="440E69A3" w:rsidP="440E69A3">
            <w:pPr>
              <w:pStyle w:val="TableTextleft"/>
              <w:rPr>
                <w:b/>
                <w:bCs/>
              </w:rPr>
            </w:pPr>
            <w:r w:rsidRPr="440E69A3">
              <w:rPr>
                <w:b/>
                <w:bCs/>
              </w:rPr>
              <w:t>The Internet of Arable Farming</w:t>
            </w:r>
          </w:p>
        </w:tc>
      </w:tr>
      <w:tr w:rsidR="00066470" w:rsidRPr="00A9724C" w14:paraId="37CBC45E" w14:textId="77777777" w:rsidTr="440E69A3">
        <w:tc>
          <w:tcPr>
            <w:tcW w:w="580" w:type="dxa"/>
            <w:vMerge w:val="restart"/>
            <w:textDirection w:val="btLr"/>
          </w:tcPr>
          <w:p w14:paraId="5381BD78" w14:textId="77777777" w:rsidR="00066470" w:rsidRPr="00075439" w:rsidRDefault="440E69A3" w:rsidP="440E69A3">
            <w:pPr>
              <w:pStyle w:val="TableTextleft"/>
              <w:ind w:left="113" w:right="113"/>
              <w:jc w:val="center"/>
              <w:rPr>
                <w:rStyle w:val="Strong"/>
              </w:rPr>
            </w:pPr>
            <w:r w:rsidRPr="440E69A3">
              <w:rPr>
                <w:rStyle w:val="Strong"/>
              </w:rPr>
              <w:t>T1 Arable</w:t>
            </w:r>
          </w:p>
        </w:tc>
        <w:tc>
          <w:tcPr>
            <w:tcW w:w="482" w:type="dxa"/>
          </w:tcPr>
          <w:p w14:paraId="334E974F" w14:textId="77777777" w:rsidR="00066470" w:rsidRPr="00075439" w:rsidRDefault="440E69A3" w:rsidP="440E69A3">
            <w:pPr>
              <w:pStyle w:val="TableTextleft"/>
              <w:rPr>
                <w:rStyle w:val="Strong"/>
                <w:b w:val="0"/>
                <w:bCs w:val="0"/>
              </w:rPr>
            </w:pPr>
            <w:r w:rsidRPr="440E69A3">
              <w:rPr>
                <w:rStyle w:val="Strong"/>
              </w:rPr>
              <w:t>1.1</w:t>
            </w:r>
          </w:p>
        </w:tc>
        <w:tc>
          <w:tcPr>
            <w:tcW w:w="1883" w:type="dxa"/>
            <w:gridSpan w:val="2"/>
          </w:tcPr>
          <w:p w14:paraId="690F8F0F" w14:textId="77777777" w:rsidR="00066470" w:rsidRPr="00075439" w:rsidRDefault="440E69A3" w:rsidP="00066470">
            <w:pPr>
              <w:pStyle w:val="TableTextleft"/>
            </w:pPr>
            <w:r>
              <w:t xml:space="preserve">Within-field management zoning </w:t>
            </w:r>
          </w:p>
        </w:tc>
        <w:tc>
          <w:tcPr>
            <w:tcW w:w="4848" w:type="dxa"/>
            <w:gridSpan w:val="2"/>
          </w:tcPr>
          <w:p w14:paraId="14F018BB" w14:textId="77777777" w:rsidR="00066470" w:rsidRPr="00075439" w:rsidRDefault="440E69A3" w:rsidP="00066470">
            <w:pPr>
              <w:pStyle w:val="TableTextleft"/>
            </w:pPr>
            <w:r>
              <w:t xml:space="preserve">defining specific field management zones by developing and linking sensing- and actuating devices with external data </w:t>
            </w:r>
          </w:p>
        </w:tc>
        <w:tc>
          <w:tcPr>
            <w:tcW w:w="1948" w:type="dxa"/>
          </w:tcPr>
          <w:p w14:paraId="59F16F16" w14:textId="77777777" w:rsidR="00066470" w:rsidRDefault="440E69A3" w:rsidP="00066470">
            <w:pPr>
              <w:pStyle w:val="TableTextleft"/>
            </w:pPr>
            <w:r>
              <w:t>Management zoning of arable fields; Crop protection; Yield prediction</w:t>
            </w:r>
          </w:p>
        </w:tc>
        <w:tc>
          <w:tcPr>
            <w:tcW w:w="1667" w:type="dxa"/>
          </w:tcPr>
          <w:p w14:paraId="1E3F7ED4" w14:textId="77777777" w:rsidR="00066470" w:rsidRDefault="440E69A3" w:rsidP="00066470">
            <w:pPr>
              <w:pStyle w:val="TableTextleft"/>
            </w:pPr>
            <w:r>
              <w:t>Farming, Logistics</w:t>
            </w:r>
          </w:p>
        </w:tc>
        <w:tc>
          <w:tcPr>
            <w:tcW w:w="1653" w:type="dxa"/>
          </w:tcPr>
          <w:p w14:paraId="04F14AB5" w14:textId="77777777" w:rsidR="00066470" w:rsidRPr="00075439" w:rsidRDefault="440E69A3" w:rsidP="00066470">
            <w:pPr>
              <w:pStyle w:val="TableTextleft"/>
            </w:pPr>
            <w:r w:rsidRPr="440E69A3">
              <w:rPr>
                <w:b/>
                <w:bCs/>
              </w:rPr>
              <w:t>NL</w:t>
            </w:r>
            <w:r>
              <w:t>, DE, BE</w:t>
            </w:r>
          </w:p>
        </w:tc>
      </w:tr>
      <w:tr w:rsidR="00066470" w:rsidRPr="00A9724C" w14:paraId="5323886E" w14:textId="77777777" w:rsidTr="440E69A3">
        <w:trPr>
          <w:cnfStyle w:val="000000100000" w:firstRow="0" w:lastRow="0" w:firstColumn="0" w:lastColumn="0" w:oddVBand="0" w:evenVBand="0" w:oddHBand="1" w:evenHBand="0" w:firstRowFirstColumn="0" w:firstRowLastColumn="0" w:lastRowFirstColumn="0" w:lastRowLastColumn="0"/>
        </w:trPr>
        <w:tc>
          <w:tcPr>
            <w:tcW w:w="580" w:type="dxa"/>
            <w:vMerge/>
          </w:tcPr>
          <w:p w14:paraId="1F390FFC" w14:textId="77777777" w:rsidR="00066470" w:rsidRPr="00075439" w:rsidRDefault="00066470" w:rsidP="00066470">
            <w:pPr>
              <w:pStyle w:val="TableTextleft"/>
              <w:rPr>
                <w:rStyle w:val="Strong"/>
              </w:rPr>
            </w:pPr>
          </w:p>
        </w:tc>
        <w:tc>
          <w:tcPr>
            <w:tcW w:w="482" w:type="dxa"/>
          </w:tcPr>
          <w:p w14:paraId="6B26F51C" w14:textId="77777777" w:rsidR="00066470" w:rsidRPr="00075439" w:rsidRDefault="440E69A3" w:rsidP="440E69A3">
            <w:pPr>
              <w:pStyle w:val="TableTextleft"/>
              <w:rPr>
                <w:rStyle w:val="Strong"/>
                <w:b w:val="0"/>
                <w:bCs w:val="0"/>
              </w:rPr>
            </w:pPr>
            <w:r w:rsidRPr="440E69A3">
              <w:rPr>
                <w:rStyle w:val="Strong"/>
              </w:rPr>
              <w:t>1.2</w:t>
            </w:r>
          </w:p>
        </w:tc>
        <w:tc>
          <w:tcPr>
            <w:tcW w:w="1883" w:type="dxa"/>
            <w:gridSpan w:val="2"/>
          </w:tcPr>
          <w:p w14:paraId="509626B6" w14:textId="77777777" w:rsidR="00066470" w:rsidRPr="00075439" w:rsidRDefault="440E69A3" w:rsidP="00066470">
            <w:pPr>
              <w:pStyle w:val="TableTextleft"/>
            </w:pPr>
            <w:r>
              <w:t>Precision Crop Management</w:t>
            </w:r>
          </w:p>
        </w:tc>
        <w:tc>
          <w:tcPr>
            <w:tcW w:w="4848" w:type="dxa"/>
            <w:gridSpan w:val="2"/>
          </w:tcPr>
          <w:p w14:paraId="2B57F18E" w14:textId="77777777" w:rsidR="00066470" w:rsidRPr="00075439" w:rsidRDefault="440E69A3" w:rsidP="00066470">
            <w:pPr>
              <w:pStyle w:val="TableTextleft"/>
            </w:pPr>
            <w:r>
              <w:t>smart wheat crop management by sensors data embedded in a low-power, long-range network infrastructure</w:t>
            </w:r>
          </w:p>
        </w:tc>
        <w:tc>
          <w:tcPr>
            <w:tcW w:w="1948" w:type="dxa"/>
          </w:tcPr>
          <w:p w14:paraId="67DA9B77" w14:textId="77777777" w:rsidR="00066470" w:rsidRPr="00EB5541" w:rsidRDefault="440E69A3" w:rsidP="00066470">
            <w:pPr>
              <w:pStyle w:val="TableTextleft"/>
            </w:pPr>
            <w:r>
              <w:t>Nitrogen and water monitoring; Precision irrigation control; Crop growth optimization</w:t>
            </w:r>
          </w:p>
        </w:tc>
        <w:tc>
          <w:tcPr>
            <w:tcW w:w="1667" w:type="dxa"/>
          </w:tcPr>
          <w:p w14:paraId="488B1DFD" w14:textId="77777777" w:rsidR="00066470" w:rsidRPr="00EB5541" w:rsidRDefault="440E69A3" w:rsidP="00066470">
            <w:pPr>
              <w:pStyle w:val="TableTextleft"/>
            </w:pPr>
            <w:r>
              <w:t>Farming</w:t>
            </w:r>
          </w:p>
        </w:tc>
        <w:tc>
          <w:tcPr>
            <w:tcW w:w="1653" w:type="dxa"/>
          </w:tcPr>
          <w:p w14:paraId="1C0A531F" w14:textId="77777777" w:rsidR="00066470" w:rsidRPr="00160B37" w:rsidRDefault="440E69A3" w:rsidP="440E69A3">
            <w:pPr>
              <w:pStyle w:val="TableTextleft"/>
              <w:rPr>
                <w:b/>
                <w:bCs/>
              </w:rPr>
            </w:pPr>
            <w:r w:rsidRPr="440E69A3">
              <w:rPr>
                <w:b/>
                <w:bCs/>
              </w:rPr>
              <w:t>FR</w:t>
            </w:r>
          </w:p>
        </w:tc>
      </w:tr>
      <w:tr w:rsidR="00066470" w:rsidRPr="005F3E9F" w14:paraId="00F2B2D7" w14:textId="77777777" w:rsidTr="440E69A3">
        <w:tc>
          <w:tcPr>
            <w:tcW w:w="580" w:type="dxa"/>
            <w:vMerge/>
          </w:tcPr>
          <w:p w14:paraId="1535B855" w14:textId="77777777" w:rsidR="00066470" w:rsidRPr="00075439" w:rsidRDefault="00066470" w:rsidP="00066470">
            <w:pPr>
              <w:pStyle w:val="TableTextleft"/>
              <w:rPr>
                <w:rStyle w:val="Strong"/>
              </w:rPr>
            </w:pPr>
          </w:p>
        </w:tc>
        <w:tc>
          <w:tcPr>
            <w:tcW w:w="482" w:type="dxa"/>
          </w:tcPr>
          <w:p w14:paraId="48ED5C96" w14:textId="77777777" w:rsidR="00066470" w:rsidRPr="00075439" w:rsidRDefault="440E69A3" w:rsidP="440E69A3">
            <w:pPr>
              <w:pStyle w:val="TableTextleft"/>
              <w:rPr>
                <w:rStyle w:val="Strong"/>
                <w:b w:val="0"/>
                <w:bCs w:val="0"/>
              </w:rPr>
            </w:pPr>
            <w:r w:rsidRPr="440E69A3">
              <w:rPr>
                <w:rStyle w:val="Strong"/>
              </w:rPr>
              <w:t>1.3</w:t>
            </w:r>
          </w:p>
        </w:tc>
        <w:tc>
          <w:tcPr>
            <w:tcW w:w="1883" w:type="dxa"/>
            <w:gridSpan w:val="2"/>
          </w:tcPr>
          <w:p w14:paraId="5505B9D0" w14:textId="77777777" w:rsidR="00066470" w:rsidRPr="00075439" w:rsidRDefault="440E69A3" w:rsidP="00066470">
            <w:pPr>
              <w:pStyle w:val="TableTextleft"/>
            </w:pPr>
            <w:r>
              <w:t>Soya Protein Management</w:t>
            </w:r>
          </w:p>
        </w:tc>
        <w:tc>
          <w:tcPr>
            <w:tcW w:w="4848" w:type="dxa"/>
            <w:gridSpan w:val="2"/>
          </w:tcPr>
          <w:p w14:paraId="57B639CD" w14:textId="77777777" w:rsidR="00066470" w:rsidRPr="00075439" w:rsidRDefault="440E69A3" w:rsidP="00066470">
            <w:pPr>
              <w:pStyle w:val="TableTextleft"/>
            </w:pPr>
            <w:r>
              <w:t>improving protein production by combining sensor data and translate them into effective machine task operations</w:t>
            </w:r>
          </w:p>
        </w:tc>
        <w:tc>
          <w:tcPr>
            <w:tcW w:w="1948" w:type="dxa"/>
          </w:tcPr>
          <w:p w14:paraId="04D45421" w14:textId="77777777" w:rsidR="00066470" w:rsidRPr="00EB5541" w:rsidRDefault="440E69A3" w:rsidP="00066470">
            <w:pPr>
              <w:pStyle w:val="TableTextleft"/>
            </w:pPr>
            <w:r>
              <w:t>Protein monitoring &amp; forecasting; Rational water usage (irrigation); Mechanical weeding</w:t>
            </w:r>
          </w:p>
        </w:tc>
        <w:tc>
          <w:tcPr>
            <w:tcW w:w="1667" w:type="dxa"/>
          </w:tcPr>
          <w:p w14:paraId="60AC239E" w14:textId="77777777" w:rsidR="00066470" w:rsidRPr="00EB5541" w:rsidRDefault="440E69A3" w:rsidP="00066470">
            <w:pPr>
              <w:pStyle w:val="TableTextleft"/>
            </w:pPr>
            <w:r>
              <w:t>Farming</w:t>
            </w:r>
          </w:p>
        </w:tc>
        <w:tc>
          <w:tcPr>
            <w:tcW w:w="1653" w:type="dxa"/>
          </w:tcPr>
          <w:p w14:paraId="46DF55FD" w14:textId="77777777" w:rsidR="00066470" w:rsidRPr="00075439" w:rsidRDefault="440E69A3" w:rsidP="00066470">
            <w:pPr>
              <w:pStyle w:val="TableTextleft"/>
            </w:pPr>
            <w:r w:rsidRPr="440E69A3">
              <w:rPr>
                <w:b/>
                <w:bCs/>
              </w:rPr>
              <w:t>IT</w:t>
            </w:r>
            <w:r>
              <w:t xml:space="preserve"> + Danube countries (CH, RS, </w:t>
            </w:r>
            <w:r w:rsidRPr="440E69A3">
              <w:rPr>
                <w:b/>
                <w:bCs/>
              </w:rPr>
              <w:t>AT</w:t>
            </w:r>
            <w:r>
              <w:t>, SK, HR, RO, CZ, UA)</w:t>
            </w:r>
          </w:p>
        </w:tc>
      </w:tr>
      <w:tr w:rsidR="00066470" w:rsidRPr="00A9724C" w14:paraId="0289A5AB" w14:textId="77777777" w:rsidTr="440E69A3">
        <w:trPr>
          <w:cnfStyle w:val="000000100000" w:firstRow="0" w:lastRow="0" w:firstColumn="0" w:lastColumn="0" w:oddVBand="0" w:evenVBand="0" w:oddHBand="1" w:evenHBand="0" w:firstRowFirstColumn="0" w:firstRowLastColumn="0" w:lastRowFirstColumn="0" w:lastRowLastColumn="0"/>
        </w:trPr>
        <w:tc>
          <w:tcPr>
            <w:tcW w:w="580" w:type="dxa"/>
            <w:vMerge/>
          </w:tcPr>
          <w:p w14:paraId="79C3931B" w14:textId="77777777" w:rsidR="00066470" w:rsidRPr="00075439" w:rsidRDefault="00066470" w:rsidP="00066470">
            <w:pPr>
              <w:pStyle w:val="TableTextleft"/>
              <w:rPr>
                <w:rStyle w:val="Strong"/>
              </w:rPr>
            </w:pPr>
          </w:p>
        </w:tc>
        <w:tc>
          <w:tcPr>
            <w:tcW w:w="482" w:type="dxa"/>
          </w:tcPr>
          <w:p w14:paraId="5EEF6B11" w14:textId="77777777" w:rsidR="00066470" w:rsidRPr="00075439" w:rsidRDefault="440E69A3" w:rsidP="440E69A3">
            <w:pPr>
              <w:pStyle w:val="TableTextleft"/>
              <w:rPr>
                <w:rStyle w:val="Strong"/>
                <w:b w:val="0"/>
                <w:bCs w:val="0"/>
              </w:rPr>
            </w:pPr>
            <w:r w:rsidRPr="440E69A3">
              <w:rPr>
                <w:rStyle w:val="Strong"/>
              </w:rPr>
              <w:t>1.4</w:t>
            </w:r>
          </w:p>
        </w:tc>
        <w:tc>
          <w:tcPr>
            <w:tcW w:w="1883" w:type="dxa"/>
            <w:gridSpan w:val="2"/>
          </w:tcPr>
          <w:p w14:paraId="21EB6516" w14:textId="77777777" w:rsidR="00066470" w:rsidRPr="00075439" w:rsidRDefault="440E69A3" w:rsidP="00066470">
            <w:pPr>
              <w:pStyle w:val="TableTextleft"/>
            </w:pPr>
            <w:r>
              <w:t>Farm Machine Interoperability</w:t>
            </w:r>
          </w:p>
        </w:tc>
        <w:tc>
          <w:tcPr>
            <w:tcW w:w="4848" w:type="dxa"/>
            <w:gridSpan w:val="2"/>
          </w:tcPr>
          <w:p w14:paraId="5E91C4C6" w14:textId="77777777" w:rsidR="00066470" w:rsidRPr="00075439" w:rsidRDefault="440E69A3" w:rsidP="00066470">
            <w:pPr>
              <w:pStyle w:val="TableTextleft"/>
            </w:pPr>
            <w:r>
              <w:t>data exchange between field machinery and farm management information systems for supporting cross-over pilot machine communication</w:t>
            </w:r>
          </w:p>
        </w:tc>
        <w:tc>
          <w:tcPr>
            <w:tcW w:w="1948" w:type="dxa"/>
          </w:tcPr>
          <w:p w14:paraId="1936BA39" w14:textId="77777777" w:rsidR="00066470" w:rsidRPr="00EB5541" w:rsidRDefault="440E69A3" w:rsidP="00066470">
            <w:pPr>
              <w:pStyle w:val="TableTextleft"/>
            </w:pPr>
            <w:r>
              <w:t>Sustainable soil tillage; Machine to machine communication for application of task maps; Farm equipment data sharing</w:t>
            </w:r>
          </w:p>
        </w:tc>
        <w:tc>
          <w:tcPr>
            <w:tcW w:w="1667" w:type="dxa"/>
          </w:tcPr>
          <w:p w14:paraId="6392CB76" w14:textId="77777777" w:rsidR="00066470" w:rsidRPr="00EB5541" w:rsidRDefault="440E69A3" w:rsidP="00066470">
            <w:pPr>
              <w:pStyle w:val="TableTextleft"/>
            </w:pPr>
            <w:r>
              <w:t>Farming</w:t>
            </w:r>
          </w:p>
        </w:tc>
        <w:tc>
          <w:tcPr>
            <w:tcW w:w="1653" w:type="dxa"/>
          </w:tcPr>
          <w:p w14:paraId="119454E6" w14:textId="77777777" w:rsidR="00066470" w:rsidRPr="00075439" w:rsidRDefault="440E69A3" w:rsidP="00066470">
            <w:pPr>
              <w:pStyle w:val="TableTextleft"/>
            </w:pPr>
            <w:r w:rsidRPr="440E69A3">
              <w:rPr>
                <w:b/>
                <w:bCs/>
              </w:rPr>
              <w:t>NL</w:t>
            </w:r>
            <w:r>
              <w:t>, DK, DE, BE</w:t>
            </w:r>
          </w:p>
        </w:tc>
      </w:tr>
      <w:tr w:rsidR="00066470" w:rsidRPr="005F3E9F" w14:paraId="25959A95" w14:textId="77777777" w:rsidTr="440E69A3">
        <w:tc>
          <w:tcPr>
            <w:tcW w:w="580" w:type="dxa"/>
            <w:shd w:val="clear" w:color="auto" w:fill="92D050"/>
          </w:tcPr>
          <w:p w14:paraId="75A547BE" w14:textId="77777777" w:rsidR="00066470" w:rsidRPr="00A9724C" w:rsidRDefault="00066470" w:rsidP="00066470">
            <w:pPr>
              <w:pStyle w:val="TableTextleft"/>
              <w:rPr>
                <w:b/>
              </w:rPr>
            </w:pPr>
          </w:p>
        </w:tc>
        <w:tc>
          <w:tcPr>
            <w:tcW w:w="1681" w:type="dxa"/>
            <w:gridSpan w:val="2"/>
            <w:shd w:val="clear" w:color="auto" w:fill="92D050"/>
          </w:tcPr>
          <w:p w14:paraId="60BE2DD3" w14:textId="77777777" w:rsidR="00066470" w:rsidRPr="00A9724C" w:rsidRDefault="00066470" w:rsidP="00066470">
            <w:pPr>
              <w:pStyle w:val="TableTextleft"/>
              <w:rPr>
                <w:b/>
              </w:rPr>
            </w:pPr>
          </w:p>
        </w:tc>
        <w:tc>
          <w:tcPr>
            <w:tcW w:w="1641" w:type="dxa"/>
            <w:gridSpan w:val="2"/>
            <w:shd w:val="clear" w:color="auto" w:fill="92D050"/>
          </w:tcPr>
          <w:p w14:paraId="7AF0D47C" w14:textId="77777777" w:rsidR="00066470" w:rsidRPr="00A9724C" w:rsidRDefault="00066470" w:rsidP="00066470">
            <w:pPr>
              <w:pStyle w:val="TableTextleft"/>
              <w:rPr>
                <w:b/>
              </w:rPr>
            </w:pPr>
          </w:p>
        </w:tc>
        <w:tc>
          <w:tcPr>
            <w:tcW w:w="9159" w:type="dxa"/>
            <w:gridSpan w:val="4"/>
            <w:shd w:val="clear" w:color="auto" w:fill="92D050"/>
          </w:tcPr>
          <w:p w14:paraId="04149B47" w14:textId="77777777" w:rsidR="00066470" w:rsidRPr="00A9724C" w:rsidRDefault="440E69A3" w:rsidP="440E69A3">
            <w:pPr>
              <w:pStyle w:val="TableTextleft"/>
              <w:rPr>
                <w:b/>
                <w:bCs/>
              </w:rPr>
            </w:pPr>
            <w:r w:rsidRPr="440E69A3">
              <w:rPr>
                <w:b/>
                <w:bCs/>
              </w:rPr>
              <w:t>The Internet of Dairy Farming</w:t>
            </w:r>
          </w:p>
        </w:tc>
      </w:tr>
      <w:tr w:rsidR="00066470" w:rsidRPr="00A9724C" w14:paraId="6E39C843" w14:textId="77777777" w:rsidTr="440E69A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 w:type="dxa"/>
            <w:vMerge w:val="restart"/>
            <w:textDirection w:val="btLr"/>
          </w:tcPr>
          <w:p w14:paraId="77580AE9" w14:textId="77777777" w:rsidR="00066470" w:rsidRPr="001D0D10" w:rsidRDefault="440E69A3" w:rsidP="440E69A3">
            <w:pPr>
              <w:pStyle w:val="TableTextleft"/>
              <w:ind w:left="113" w:right="113"/>
              <w:jc w:val="center"/>
              <w:rPr>
                <w:rStyle w:val="Strong"/>
              </w:rPr>
            </w:pPr>
            <w:r w:rsidRPr="440E69A3">
              <w:rPr>
                <w:rStyle w:val="Strong"/>
                <w:b/>
                <w:bCs/>
              </w:rPr>
              <w:t>T2 Dairy</w:t>
            </w:r>
          </w:p>
        </w:tc>
        <w:tc>
          <w:tcPr>
            <w:tcW w:w="482" w:type="dxa"/>
          </w:tcPr>
          <w:p w14:paraId="07A7831C" w14:textId="77777777" w:rsidR="00066470" w:rsidRPr="00075439" w:rsidRDefault="440E69A3" w:rsidP="440E69A3">
            <w:pPr>
              <w:pStyle w:val="TableTextleft"/>
              <w:cnfStyle w:val="000000100000" w:firstRow="0" w:lastRow="0" w:firstColumn="0" w:lastColumn="0" w:oddVBand="0" w:evenVBand="0" w:oddHBand="1" w:evenHBand="0" w:firstRowFirstColumn="0" w:firstRowLastColumn="0" w:lastRowFirstColumn="0" w:lastRowLastColumn="0"/>
              <w:rPr>
                <w:rStyle w:val="Strong"/>
                <w:b w:val="0"/>
                <w:bCs w:val="0"/>
              </w:rPr>
            </w:pPr>
            <w:r w:rsidRPr="440E69A3">
              <w:rPr>
                <w:rStyle w:val="Strong"/>
              </w:rPr>
              <w:t>2.1</w:t>
            </w:r>
          </w:p>
        </w:tc>
        <w:tc>
          <w:tcPr>
            <w:tcW w:w="1883" w:type="dxa"/>
            <w:gridSpan w:val="2"/>
          </w:tcPr>
          <w:p w14:paraId="405D8364" w14:textId="77777777" w:rsidR="00066470" w:rsidRPr="00075439" w:rsidRDefault="440E69A3" w:rsidP="440E69A3">
            <w:pPr>
              <w:pStyle w:val="TableTextleft"/>
              <w:cnfStyle w:val="000000100000" w:firstRow="0" w:lastRow="0" w:firstColumn="0" w:lastColumn="0" w:oddVBand="0" w:evenVBand="0" w:oddHBand="1" w:evenHBand="0" w:firstRowFirstColumn="0" w:firstRowLastColumn="0" w:lastRowFirstColumn="0" w:lastRowLastColumn="0"/>
              <w:rPr>
                <w:rStyle w:val="Strong"/>
                <w:b w:val="0"/>
                <w:bCs w:val="0"/>
              </w:rPr>
            </w:pPr>
            <w:r>
              <w:t>Grazing Cow Monitor</w:t>
            </w:r>
          </w:p>
        </w:tc>
        <w:tc>
          <w:tcPr>
            <w:tcW w:w="4848" w:type="dxa"/>
            <w:gridSpan w:val="2"/>
          </w:tcPr>
          <w:p w14:paraId="5E867256" w14:textId="77777777" w:rsidR="00066470" w:rsidRPr="00075439" w:rsidRDefault="440E69A3" w:rsidP="440E69A3">
            <w:pPr>
              <w:pStyle w:val="TableTextleft"/>
              <w:cnfStyle w:val="000000100000" w:firstRow="0" w:lastRow="0" w:firstColumn="0" w:lastColumn="0" w:oddVBand="0" w:evenVBand="0" w:oddHBand="1" w:evenHBand="0" w:firstRowFirstColumn="0" w:firstRowLastColumn="0" w:lastRowFirstColumn="0" w:lastRowLastColumn="0"/>
              <w:rPr>
                <w:rStyle w:val="Strong"/>
                <w:b w:val="0"/>
                <w:bCs w:val="0"/>
              </w:rPr>
            </w:pPr>
            <w:r>
              <w:t>monitoring and managing the outdoor grazing of cows by GPS tracking within ultra-narrow band communication networks</w:t>
            </w:r>
          </w:p>
        </w:tc>
        <w:tc>
          <w:tcPr>
            <w:tcW w:w="1948" w:type="dxa"/>
          </w:tcPr>
          <w:p w14:paraId="66DD335E"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Cow Tracking and Tracing; Pasture Time Monitoring</w:t>
            </w:r>
          </w:p>
        </w:tc>
        <w:tc>
          <w:tcPr>
            <w:tcW w:w="1667" w:type="dxa"/>
          </w:tcPr>
          <w:p w14:paraId="4F088D17"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Farming</w:t>
            </w:r>
          </w:p>
        </w:tc>
        <w:tc>
          <w:tcPr>
            <w:tcW w:w="1653" w:type="dxa"/>
          </w:tcPr>
          <w:p w14:paraId="1619936F" w14:textId="77777777" w:rsidR="00066470" w:rsidRPr="00075439"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rsidRPr="440E69A3">
              <w:rPr>
                <w:b/>
                <w:bCs/>
              </w:rPr>
              <w:t>BE</w:t>
            </w:r>
            <w:r>
              <w:t xml:space="preserve">, </w:t>
            </w:r>
            <w:r w:rsidRPr="440E69A3">
              <w:rPr>
                <w:b/>
                <w:bCs/>
              </w:rPr>
              <w:t>NL</w:t>
            </w:r>
            <w:r>
              <w:t xml:space="preserve"> </w:t>
            </w:r>
            <w:r w:rsidRPr="440E69A3">
              <w:rPr>
                <w:i/>
                <w:iCs/>
              </w:rPr>
              <w:t>(future)</w:t>
            </w:r>
          </w:p>
        </w:tc>
      </w:tr>
      <w:tr w:rsidR="00066470" w:rsidRPr="00A9724C" w14:paraId="78897071" w14:textId="77777777" w:rsidTr="440E69A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80" w:type="dxa"/>
            <w:vMerge/>
          </w:tcPr>
          <w:p w14:paraId="39C4A25C" w14:textId="77777777" w:rsidR="00066470" w:rsidRPr="00075439" w:rsidRDefault="00066470" w:rsidP="00066470">
            <w:pPr>
              <w:pStyle w:val="TableTextleft"/>
              <w:rPr>
                <w:rStyle w:val="Strong"/>
              </w:rPr>
            </w:pPr>
          </w:p>
        </w:tc>
        <w:tc>
          <w:tcPr>
            <w:tcW w:w="482" w:type="dxa"/>
          </w:tcPr>
          <w:p w14:paraId="47956C2D" w14:textId="77777777" w:rsidR="00066470" w:rsidRPr="00075439" w:rsidRDefault="440E69A3" w:rsidP="440E69A3">
            <w:pPr>
              <w:pStyle w:val="TableTextleft"/>
              <w:cnfStyle w:val="000000000000" w:firstRow="0" w:lastRow="0" w:firstColumn="0" w:lastColumn="0" w:oddVBand="0" w:evenVBand="0" w:oddHBand="0" w:evenHBand="0" w:firstRowFirstColumn="0" w:firstRowLastColumn="0" w:lastRowFirstColumn="0" w:lastRowLastColumn="0"/>
              <w:rPr>
                <w:rStyle w:val="Strong"/>
                <w:b w:val="0"/>
                <w:bCs w:val="0"/>
              </w:rPr>
            </w:pPr>
            <w:r w:rsidRPr="440E69A3">
              <w:rPr>
                <w:rStyle w:val="Strong"/>
              </w:rPr>
              <w:t>2.2</w:t>
            </w:r>
          </w:p>
        </w:tc>
        <w:tc>
          <w:tcPr>
            <w:tcW w:w="1883" w:type="dxa"/>
            <w:gridSpan w:val="2"/>
          </w:tcPr>
          <w:p w14:paraId="4A63E27F" w14:textId="77777777" w:rsidR="00066470" w:rsidRPr="00075439"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Happy Cow</w:t>
            </w:r>
          </w:p>
        </w:tc>
        <w:tc>
          <w:tcPr>
            <w:tcW w:w="4848" w:type="dxa"/>
            <w:gridSpan w:val="2"/>
          </w:tcPr>
          <w:p w14:paraId="74F50E68" w14:textId="77777777" w:rsidR="00066470" w:rsidRPr="00075439"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improving dairy farm productivity through 3D cow activity sensing and cloud machine learning technologies</w:t>
            </w:r>
          </w:p>
        </w:tc>
        <w:tc>
          <w:tcPr>
            <w:tcW w:w="1948" w:type="dxa"/>
          </w:tcPr>
          <w:p w14:paraId="783697AD"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Real-time 3D monitoring of dairy cow activity; Animal Health Management; Cow Fertility Management</w:t>
            </w:r>
          </w:p>
        </w:tc>
        <w:tc>
          <w:tcPr>
            <w:tcW w:w="1667" w:type="dxa"/>
          </w:tcPr>
          <w:p w14:paraId="6165B744"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Farming</w:t>
            </w:r>
          </w:p>
        </w:tc>
        <w:tc>
          <w:tcPr>
            <w:tcW w:w="1653" w:type="dxa"/>
          </w:tcPr>
          <w:p w14:paraId="16348971" w14:textId="77777777" w:rsidR="00066470" w:rsidRPr="00A560FA" w:rsidRDefault="440E69A3" w:rsidP="440E69A3">
            <w:pPr>
              <w:pStyle w:val="TableTextleft"/>
              <w:cnfStyle w:val="000000000000" w:firstRow="0" w:lastRow="0" w:firstColumn="0" w:lastColumn="0" w:oddVBand="0" w:evenVBand="0" w:oddHBand="0" w:evenHBand="0" w:firstRowFirstColumn="0" w:firstRowLastColumn="0" w:lastRowFirstColumn="0" w:lastRowLastColumn="0"/>
              <w:rPr>
                <w:b/>
                <w:bCs/>
              </w:rPr>
            </w:pPr>
            <w:r w:rsidRPr="440E69A3">
              <w:rPr>
                <w:b/>
                <w:bCs/>
              </w:rPr>
              <w:t>NL</w:t>
            </w:r>
          </w:p>
        </w:tc>
      </w:tr>
      <w:tr w:rsidR="00066470" w:rsidRPr="00A9724C" w14:paraId="51015A6C" w14:textId="77777777" w:rsidTr="440E69A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 w:type="dxa"/>
            <w:vMerge/>
          </w:tcPr>
          <w:p w14:paraId="4BAB8853" w14:textId="77777777" w:rsidR="00066470" w:rsidRPr="00075439" w:rsidRDefault="00066470" w:rsidP="00066470">
            <w:pPr>
              <w:pStyle w:val="TableTextleft"/>
              <w:rPr>
                <w:rStyle w:val="Strong"/>
              </w:rPr>
            </w:pPr>
          </w:p>
        </w:tc>
        <w:tc>
          <w:tcPr>
            <w:tcW w:w="482" w:type="dxa"/>
          </w:tcPr>
          <w:p w14:paraId="0E99B9F0" w14:textId="77777777" w:rsidR="00066470" w:rsidRPr="00075439" w:rsidRDefault="440E69A3" w:rsidP="440E69A3">
            <w:pPr>
              <w:pStyle w:val="TableTextleft"/>
              <w:cnfStyle w:val="000000100000" w:firstRow="0" w:lastRow="0" w:firstColumn="0" w:lastColumn="0" w:oddVBand="0" w:evenVBand="0" w:oddHBand="1" w:evenHBand="0" w:firstRowFirstColumn="0" w:firstRowLastColumn="0" w:lastRowFirstColumn="0" w:lastRowLastColumn="0"/>
              <w:rPr>
                <w:rStyle w:val="Strong"/>
                <w:b w:val="0"/>
                <w:bCs w:val="0"/>
              </w:rPr>
            </w:pPr>
            <w:r w:rsidRPr="440E69A3">
              <w:rPr>
                <w:rStyle w:val="Strong"/>
              </w:rPr>
              <w:t>2.3</w:t>
            </w:r>
          </w:p>
        </w:tc>
        <w:tc>
          <w:tcPr>
            <w:tcW w:w="1883" w:type="dxa"/>
            <w:gridSpan w:val="2"/>
          </w:tcPr>
          <w:p w14:paraId="3A7EE13D" w14:textId="77777777" w:rsidR="00066470" w:rsidRPr="00075439"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Silent Herdsman</w:t>
            </w:r>
          </w:p>
        </w:tc>
        <w:tc>
          <w:tcPr>
            <w:tcW w:w="4848" w:type="dxa"/>
            <w:gridSpan w:val="2"/>
          </w:tcPr>
          <w:p w14:paraId="3093ABB7" w14:textId="77777777" w:rsidR="00066470" w:rsidRPr="00075439"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herd alert management by a high node count distributed sensor network and a cloud-based platform for decision-making</w:t>
            </w:r>
          </w:p>
        </w:tc>
        <w:tc>
          <w:tcPr>
            <w:tcW w:w="1948" w:type="dxa"/>
          </w:tcPr>
          <w:p w14:paraId="2C2F5B0E"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 xml:space="preserve">Monitoring of animal behaviour (motion); Early detection of livestock diseases </w:t>
            </w:r>
          </w:p>
        </w:tc>
        <w:tc>
          <w:tcPr>
            <w:tcW w:w="1667" w:type="dxa"/>
          </w:tcPr>
          <w:p w14:paraId="2FC4FE2E"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Farming</w:t>
            </w:r>
          </w:p>
        </w:tc>
        <w:tc>
          <w:tcPr>
            <w:tcW w:w="1653" w:type="dxa"/>
          </w:tcPr>
          <w:p w14:paraId="3357F93D" w14:textId="77777777" w:rsidR="00066470" w:rsidRPr="00A560FA" w:rsidRDefault="440E69A3" w:rsidP="440E69A3">
            <w:pPr>
              <w:pStyle w:val="TableTextleft"/>
              <w:cnfStyle w:val="000000100000" w:firstRow="0" w:lastRow="0" w:firstColumn="0" w:lastColumn="0" w:oddVBand="0" w:evenVBand="0" w:oddHBand="1" w:evenHBand="0" w:firstRowFirstColumn="0" w:firstRowLastColumn="0" w:lastRowFirstColumn="0" w:lastRowLastColumn="0"/>
              <w:rPr>
                <w:b/>
                <w:bCs/>
              </w:rPr>
            </w:pPr>
            <w:r w:rsidRPr="440E69A3">
              <w:rPr>
                <w:b/>
                <w:bCs/>
              </w:rPr>
              <w:t>UK</w:t>
            </w:r>
          </w:p>
        </w:tc>
      </w:tr>
      <w:tr w:rsidR="00066470" w:rsidRPr="00A9724C" w14:paraId="5CF5A9BC" w14:textId="77777777" w:rsidTr="440E69A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80" w:type="dxa"/>
            <w:vMerge/>
          </w:tcPr>
          <w:p w14:paraId="3BF6C317" w14:textId="77777777" w:rsidR="00066470" w:rsidRPr="00075439" w:rsidRDefault="00066470" w:rsidP="00066470">
            <w:pPr>
              <w:pStyle w:val="TableTextleft"/>
              <w:rPr>
                <w:rStyle w:val="Strong"/>
              </w:rPr>
            </w:pPr>
          </w:p>
        </w:tc>
        <w:tc>
          <w:tcPr>
            <w:tcW w:w="482" w:type="dxa"/>
          </w:tcPr>
          <w:p w14:paraId="04A72BBE" w14:textId="77777777" w:rsidR="00066470" w:rsidRPr="00075439" w:rsidRDefault="440E69A3" w:rsidP="440E69A3">
            <w:pPr>
              <w:pStyle w:val="TableTextleft"/>
              <w:cnfStyle w:val="000000000000" w:firstRow="0" w:lastRow="0" w:firstColumn="0" w:lastColumn="0" w:oddVBand="0" w:evenVBand="0" w:oddHBand="0" w:evenHBand="0" w:firstRowFirstColumn="0" w:firstRowLastColumn="0" w:lastRowFirstColumn="0" w:lastRowLastColumn="0"/>
              <w:rPr>
                <w:rStyle w:val="Strong"/>
                <w:b w:val="0"/>
                <w:bCs w:val="0"/>
              </w:rPr>
            </w:pPr>
            <w:r w:rsidRPr="440E69A3">
              <w:rPr>
                <w:rStyle w:val="Strong"/>
              </w:rPr>
              <w:t>2.4</w:t>
            </w:r>
          </w:p>
        </w:tc>
        <w:tc>
          <w:tcPr>
            <w:tcW w:w="1883" w:type="dxa"/>
            <w:gridSpan w:val="2"/>
          </w:tcPr>
          <w:p w14:paraId="1C45B818" w14:textId="77777777" w:rsidR="00066470" w:rsidRPr="00075439"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Remote Milk Quality</w:t>
            </w:r>
          </w:p>
        </w:tc>
        <w:tc>
          <w:tcPr>
            <w:tcW w:w="4848" w:type="dxa"/>
            <w:gridSpan w:val="2"/>
          </w:tcPr>
          <w:p w14:paraId="39B440AB" w14:textId="77777777" w:rsidR="00066470" w:rsidRPr="00075439"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remote quality assurance of accurate instruments and analysis &amp; pro-active control in the dairy chain</w:t>
            </w:r>
          </w:p>
        </w:tc>
        <w:tc>
          <w:tcPr>
            <w:tcW w:w="1948" w:type="dxa"/>
          </w:tcPr>
          <w:p w14:paraId="5321B2B1"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 xml:space="preserve">Remote quality monitoring of raw-, half- and end-products; Validation/calibration quality info; Product composition analysis </w:t>
            </w:r>
            <w:r>
              <w:lastRenderedPageBreak/>
              <w:t>(incl. fresh-grazed grass &amp; cow pregnancy indicators)</w:t>
            </w:r>
          </w:p>
        </w:tc>
        <w:tc>
          <w:tcPr>
            <w:tcW w:w="1667" w:type="dxa"/>
          </w:tcPr>
          <w:p w14:paraId="4ED11095"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lastRenderedPageBreak/>
              <w:t>Processing, Consumption</w:t>
            </w:r>
          </w:p>
        </w:tc>
        <w:tc>
          <w:tcPr>
            <w:tcW w:w="1653" w:type="dxa"/>
          </w:tcPr>
          <w:p w14:paraId="45760DA1" w14:textId="77777777" w:rsidR="00066470" w:rsidRPr="00A560FA" w:rsidRDefault="440E69A3" w:rsidP="440E69A3">
            <w:pPr>
              <w:pStyle w:val="TableTextleft"/>
              <w:cnfStyle w:val="000000000000" w:firstRow="0" w:lastRow="0" w:firstColumn="0" w:lastColumn="0" w:oddVBand="0" w:evenVBand="0" w:oddHBand="0" w:evenHBand="0" w:firstRowFirstColumn="0" w:firstRowLastColumn="0" w:lastRowFirstColumn="0" w:lastRowLastColumn="0"/>
              <w:rPr>
                <w:b/>
                <w:bCs/>
              </w:rPr>
            </w:pPr>
            <w:r w:rsidRPr="440E69A3">
              <w:rPr>
                <w:b/>
                <w:bCs/>
              </w:rPr>
              <w:t>NL</w:t>
            </w:r>
          </w:p>
        </w:tc>
      </w:tr>
      <w:tr w:rsidR="00066470" w:rsidRPr="00A9724C" w14:paraId="607B35BF" w14:textId="77777777" w:rsidTr="440E69A3">
        <w:trPr>
          <w:cnfStyle w:val="000000100000" w:firstRow="0" w:lastRow="0" w:firstColumn="0" w:lastColumn="0" w:oddVBand="0" w:evenVBand="0" w:oddHBand="1" w:evenHBand="0" w:firstRowFirstColumn="0" w:firstRowLastColumn="0" w:lastRowFirstColumn="0" w:lastRowLastColumn="0"/>
        </w:trPr>
        <w:tc>
          <w:tcPr>
            <w:tcW w:w="580" w:type="dxa"/>
            <w:shd w:val="clear" w:color="auto" w:fill="92D050"/>
          </w:tcPr>
          <w:p w14:paraId="577D7FBD" w14:textId="77777777" w:rsidR="00066470" w:rsidRPr="00A9724C" w:rsidRDefault="00066470" w:rsidP="00066470">
            <w:pPr>
              <w:pStyle w:val="TableTextleft"/>
              <w:rPr>
                <w:b/>
              </w:rPr>
            </w:pPr>
          </w:p>
        </w:tc>
        <w:tc>
          <w:tcPr>
            <w:tcW w:w="1681" w:type="dxa"/>
            <w:gridSpan w:val="2"/>
            <w:shd w:val="clear" w:color="auto" w:fill="92D050"/>
          </w:tcPr>
          <w:p w14:paraId="049A6BD3" w14:textId="77777777" w:rsidR="00066470" w:rsidRPr="00A9724C" w:rsidRDefault="00066470" w:rsidP="00066470">
            <w:pPr>
              <w:pStyle w:val="TableTextleft"/>
              <w:rPr>
                <w:b/>
              </w:rPr>
            </w:pPr>
          </w:p>
        </w:tc>
        <w:tc>
          <w:tcPr>
            <w:tcW w:w="1641" w:type="dxa"/>
            <w:gridSpan w:val="2"/>
            <w:shd w:val="clear" w:color="auto" w:fill="92D050"/>
          </w:tcPr>
          <w:p w14:paraId="3327424A" w14:textId="77777777" w:rsidR="00066470" w:rsidRPr="00A9724C" w:rsidRDefault="00066470" w:rsidP="00066470">
            <w:pPr>
              <w:pStyle w:val="TableTextleft"/>
              <w:rPr>
                <w:b/>
              </w:rPr>
            </w:pPr>
          </w:p>
        </w:tc>
        <w:tc>
          <w:tcPr>
            <w:tcW w:w="9159" w:type="dxa"/>
            <w:gridSpan w:val="4"/>
            <w:shd w:val="clear" w:color="auto" w:fill="92D050"/>
          </w:tcPr>
          <w:p w14:paraId="0426D30C" w14:textId="77777777" w:rsidR="00066470" w:rsidRPr="00A9724C" w:rsidRDefault="440E69A3" w:rsidP="440E69A3">
            <w:pPr>
              <w:pStyle w:val="TableTextleft"/>
              <w:rPr>
                <w:b/>
                <w:bCs/>
              </w:rPr>
            </w:pPr>
            <w:r w:rsidRPr="440E69A3">
              <w:rPr>
                <w:b/>
                <w:bCs/>
              </w:rPr>
              <w:t>The Internet of Fruits</w:t>
            </w:r>
          </w:p>
        </w:tc>
      </w:tr>
      <w:tr w:rsidR="00066470" w:rsidRPr="00C15C25" w14:paraId="4D25CCAB" w14:textId="77777777" w:rsidTr="440E69A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80" w:type="dxa"/>
            <w:vMerge w:val="restart"/>
            <w:textDirection w:val="btLr"/>
          </w:tcPr>
          <w:p w14:paraId="71C9B7AD" w14:textId="77777777" w:rsidR="00066470" w:rsidRPr="001D0D10" w:rsidRDefault="440E69A3" w:rsidP="440E69A3">
            <w:pPr>
              <w:pStyle w:val="TableTextleft"/>
              <w:ind w:left="113" w:right="113"/>
              <w:jc w:val="center"/>
              <w:rPr>
                <w:rStyle w:val="Strong"/>
              </w:rPr>
            </w:pPr>
            <w:r w:rsidRPr="440E69A3">
              <w:rPr>
                <w:rStyle w:val="Strong"/>
                <w:b/>
                <w:bCs/>
              </w:rPr>
              <w:t>T3 Fruit</w:t>
            </w:r>
          </w:p>
        </w:tc>
        <w:tc>
          <w:tcPr>
            <w:tcW w:w="482" w:type="dxa"/>
          </w:tcPr>
          <w:p w14:paraId="62985923" w14:textId="77777777" w:rsidR="00066470" w:rsidRPr="00075439" w:rsidRDefault="440E69A3" w:rsidP="440E69A3">
            <w:pPr>
              <w:pStyle w:val="TableTextleft"/>
              <w:cnfStyle w:val="000000000000" w:firstRow="0" w:lastRow="0" w:firstColumn="0" w:lastColumn="0" w:oddVBand="0" w:evenVBand="0" w:oddHBand="0" w:evenHBand="0" w:firstRowFirstColumn="0" w:firstRowLastColumn="0" w:lastRowFirstColumn="0" w:lastRowLastColumn="0"/>
              <w:rPr>
                <w:rStyle w:val="Strong"/>
                <w:b w:val="0"/>
                <w:bCs w:val="0"/>
              </w:rPr>
            </w:pPr>
            <w:r w:rsidRPr="440E69A3">
              <w:rPr>
                <w:rStyle w:val="Strong"/>
              </w:rPr>
              <w:t>3.1</w:t>
            </w:r>
          </w:p>
        </w:tc>
        <w:tc>
          <w:tcPr>
            <w:tcW w:w="1883" w:type="dxa"/>
            <w:gridSpan w:val="2"/>
          </w:tcPr>
          <w:p w14:paraId="09A08622" w14:textId="77777777" w:rsidR="00066470" w:rsidRPr="00075439" w:rsidRDefault="440E69A3" w:rsidP="440E69A3">
            <w:pPr>
              <w:pStyle w:val="TableTextleft"/>
              <w:cnfStyle w:val="000000000000" w:firstRow="0" w:lastRow="0" w:firstColumn="0" w:lastColumn="0" w:oddVBand="0" w:evenVBand="0" w:oddHBand="0" w:evenHBand="0" w:firstRowFirstColumn="0" w:firstRowLastColumn="0" w:lastRowFirstColumn="0" w:lastRowLastColumn="0"/>
              <w:rPr>
                <w:rStyle w:val="Strong"/>
                <w:b w:val="0"/>
                <w:bCs w:val="0"/>
              </w:rPr>
            </w:pPr>
            <w:r>
              <w:t>Fresh table grapes chain</w:t>
            </w:r>
          </w:p>
        </w:tc>
        <w:tc>
          <w:tcPr>
            <w:tcW w:w="4848" w:type="dxa"/>
            <w:gridSpan w:val="2"/>
          </w:tcPr>
          <w:p w14:paraId="6E4687D6" w14:textId="77777777" w:rsidR="00066470" w:rsidRPr="00075439" w:rsidRDefault="440E69A3" w:rsidP="440E69A3">
            <w:pPr>
              <w:pStyle w:val="TableTextleft"/>
              <w:cnfStyle w:val="000000000000" w:firstRow="0" w:lastRow="0" w:firstColumn="0" w:lastColumn="0" w:oddVBand="0" w:evenVBand="0" w:oddHBand="0" w:evenHBand="0" w:firstRowFirstColumn="0" w:firstRowLastColumn="0" w:lastRowFirstColumn="0" w:lastRowLastColumn="0"/>
              <w:rPr>
                <w:rStyle w:val="Strong"/>
                <w:b w:val="0"/>
                <w:bCs w:val="0"/>
              </w:rPr>
            </w:pPr>
            <w:r>
              <w:t>real-time monitoring and control of water supply and crop protection of table grapes and predicting shelf life</w:t>
            </w:r>
          </w:p>
        </w:tc>
        <w:tc>
          <w:tcPr>
            <w:tcW w:w="1948" w:type="dxa"/>
          </w:tcPr>
          <w:p w14:paraId="22D61381"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Smart Irrigation; Variable Rate Spraying; Smart Post-Harvest Processing &amp; Packaging</w:t>
            </w:r>
          </w:p>
        </w:tc>
        <w:tc>
          <w:tcPr>
            <w:tcW w:w="1667" w:type="dxa"/>
          </w:tcPr>
          <w:p w14:paraId="09B711F6"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Farming, Packaging</w:t>
            </w:r>
          </w:p>
        </w:tc>
        <w:tc>
          <w:tcPr>
            <w:tcW w:w="1653" w:type="dxa"/>
          </w:tcPr>
          <w:p w14:paraId="4F38B287" w14:textId="77777777" w:rsidR="00066470" w:rsidRPr="00075439"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rsidRPr="440E69A3">
              <w:rPr>
                <w:b/>
                <w:bCs/>
              </w:rPr>
              <w:t>IT, EL</w:t>
            </w:r>
            <w:r>
              <w:t>, BE</w:t>
            </w:r>
          </w:p>
        </w:tc>
      </w:tr>
      <w:tr w:rsidR="00066470" w:rsidRPr="007D72AB" w14:paraId="092DAB5C" w14:textId="77777777" w:rsidTr="440E69A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 w:type="dxa"/>
            <w:vMerge/>
          </w:tcPr>
          <w:p w14:paraId="3E299DFA" w14:textId="77777777" w:rsidR="00066470" w:rsidRPr="00075439" w:rsidRDefault="00066470" w:rsidP="00066470">
            <w:pPr>
              <w:pStyle w:val="TableTextleft"/>
              <w:rPr>
                <w:rStyle w:val="Strong"/>
              </w:rPr>
            </w:pPr>
          </w:p>
        </w:tc>
        <w:tc>
          <w:tcPr>
            <w:tcW w:w="482" w:type="dxa"/>
          </w:tcPr>
          <w:p w14:paraId="5D9E6233" w14:textId="77777777" w:rsidR="00066470" w:rsidRPr="00075439" w:rsidRDefault="440E69A3" w:rsidP="440E69A3">
            <w:pPr>
              <w:pStyle w:val="TableTextleft"/>
              <w:cnfStyle w:val="000000100000" w:firstRow="0" w:lastRow="0" w:firstColumn="0" w:lastColumn="0" w:oddVBand="0" w:evenVBand="0" w:oddHBand="1" w:evenHBand="0" w:firstRowFirstColumn="0" w:firstRowLastColumn="0" w:lastRowFirstColumn="0" w:lastRowLastColumn="0"/>
              <w:rPr>
                <w:rStyle w:val="Strong"/>
                <w:b w:val="0"/>
                <w:bCs w:val="0"/>
              </w:rPr>
            </w:pPr>
            <w:r w:rsidRPr="440E69A3">
              <w:rPr>
                <w:rStyle w:val="Strong"/>
              </w:rPr>
              <w:t>3.2</w:t>
            </w:r>
          </w:p>
        </w:tc>
        <w:tc>
          <w:tcPr>
            <w:tcW w:w="1883" w:type="dxa"/>
            <w:gridSpan w:val="2"/>
          </w:tcPr>
          <w:p w14:paraId="202A2B53" w14:textId="77777777" w:rsidR="00066470" w:rsidRPr="00075439"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Big wine optimization</w:t>
            </w:r>
          </w:p>
        </w:tc>
        <w:tc>
          <w:tcPr>
            <w:tcW w:w="4848" w:type="dxa"/>
            <w:gridSpan w:val="2"/>
          </w:tcPr>
          <w:p w14:paraId="0CCCDF1B" w14:textId="77777777" w:rsidR="00066470" w:rsidRPr="00075439"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optimizing cultivation and processing of wine by sensor-actuator networks and big data analysis within a cloud framework</w:t>
            </w:r>
          </w:p>
        </w:tc>
        <w:tc>
          <w:tcPr>
            <w:tcW w:w="1948" w:type="dxa"/>
          </w:tcPr>
          <w:p w14:paraId="2A97BB05"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Pest Management; Selective Harvesting; Wine Cellar Monitoring</w:t>
            </w:r>
          </w:p>
        </w:tc>
        <w:tc>
          <w:tcPr>
            <w:tcW w:w="1667" w:type="dxa"/>
          </w:tcPr>
          <w:p w14:paraId="19EE68BD"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Farming, Processing</w:t>
            </w:r>
          </w:p>
        </w:tc>
        <w:tc>
          <w:tcPr>
            <w:tcW w:w="1653" w:type="dxa"/>
          </w:tcPr>
          <w:p w14:paraId="6A34DDCB" w14:textId="77777777" w:rsidR="00066470" w:rsidRPr="00A560FA" w:rsidRDefault="440E69A3" w:rsidP="440E69A3">
            <w:pPr>
              <w:pStyle w:val="TableTextleft"/>
              <w:cnfStyle w:val="000000100000" w:firstRow="0" w:lastRow="0" w:firstColumn="0" w:lastColumn="0" w:oddVBand="0" w:evenVBand="0" w:oddHBand="1" w:evenHBand="0" w:firstRowFirstColumn="0" w:firstRowLastColumn="0" w:lastRowFirstColumn="0" w:lastRowLastColumn="0"/>
              <w:rPr>
                <w:b/>
                <w:bCs/>
              </w:rPr>
            </w:pPr>
            <w:r w:rsidRPr="440E69A3">
              <w:rPr>
                <w:b/>
                <w:bCs/>
              </w:rPr>
              <w:t>FR, IT</w:t>
            </w:r>
          </w:p>
        </w:tc>
      </w:tr>
      <w:tr w:rsidR="00066470" w:rsidRPr="007D72AB" w14:paraId="6B7EB320" w14:textId="77777777" w:rsidTr="440E69A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80" w:type="dxa"/>
            <w:vMerge/>
          </w:tcPr>
          <w:p w14:paraId="3813B081" w14:textId="77777777" w:rsidR="00066470" w:rsidRPr="00075439" w:rsidRDefault="00066470" w:rsidP="00066470">
            <w:pPr>
              <w:pStyle w:val="TableTextleft"/>
              <w:rPr>
                <w:rStyle w:val="Strong"/>
              </w:rPr>
            </w:pPr>
          </w:p>
        </w:tc>
        <w:tc>
          <w:tcPr>
            <w:tcW w:w="482" w:type="dxa"/>
          </w:tcPr>
          <w:p w14:paraId="666714A9" w14:textId="77777777" w:rsidR="00066470" w:rsidRPr="00075439" w:rsidRDefault="440E69A3" w:rsidP="440E69A3">
            <w:pPr>
              <w:pStyle w:val="TableTextleft"/>
              <w:cnfStyle w:val="000000000000" w:firstRow="0" w:lastRow="0" w:firstColumn="0" w:lastColumn="0" w:oddVBand="0" w:evenVBand="0" w:oddHBand="0" w:evenHBand="0" w:firstRowFirstColumn="0" w:firstRowLastColumn="0" w:lastRowFirstColumn="0" w:lastRowLastColumn="0"/>
              <w:rPr>
                <w:rStyle w:val="Strong"/>
                <w:b w:val="0"/>
                <w:bCs w:val="0"/>
              </w:rPr>
            </w:pPr>
            <w:r w:rsidRPr="440E69A3">
              <w:rPr>
                <w:rStyle w:val="Strong"/>
              </w:rPr>
              <w:t>3.3</w:t>
            </w:r>
          </w:p>
        </w:tc>
        <w:tc>
          <w:tcPr>
            <w:tcW w:w="1883" w:type="dxa"/>
            <w:gridSpan w:val="2"/>
          </w:tcPr>
          <w:p w14:paraId="1B908265" w14:textId="77777777" w:rsidR="00066470" w:rsidRPr="00075439"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Automated olive chain</w:t>
            </w:r>
          </w:p>
        </w:tc>
        <w:tc>
          <w:tcPr>
            <w:tcW w:w="4848" w:type="dxa"/>
            <w:gridSpan w:val="2"/>
          </w:tcPr>
          <w:p w14:paraId="11E71EDB" w14:textId="77777777" w:rsidR="00066470" w:rsidRPr="00075439"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automated field control, product segmentation, processing and commercialisation of olives and olive oil</w:t>
            </w:r>
          </w:p>
        </w:tc>
        <w:tc>
          <w:tcPr>
            <w:tcW w:w="1948" w:type="dxa"/>
          </w:tcPr>
          <w:p w14:paraId="6A9779F1"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Fertigation; Harvesting Logistics; Smart Mill Processing</w:t>
            </w:r>
          </w:p>
        </w:tc>
        <w:tc>
          <w:tcPr>
            <w:tcW w:w="1667" w:type="dxa"/>
          </w:tcPr>
          <w:p w14:paraId="502E1034"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Farming, Processing</w:t>
            </w:r>
          </w:p>
        </w:tc>
        <w:tc>
          <w:tcPr>
            <w:tcW w:w="1653" w:type="dxa"/>
          </w:tcPr>
          <w:p w14:paraId="12308C2F" w14:textId="77777777" w:rsidR="00066470" w:rsidRPr="00A560FA" w:rsidRDefault="440E69A3" w:rsidP="440E69A3">
            <w:pPr>
              <w:pStyle w:val="TableTextleft"/>
              <w:cnfStyle w:val="000000000000" w:firstRow="0" w:lastRow="0" w:firstColumn="0" w:lastColumn="0" w:oddVBand="0" w:evenVBand="0" w:oddHBand="0" w:evenHBand="0" w:firstRowFirstColumn="0" w:firstRowLastColumn="0" w:lastRowFirstColumn="0" w:lastRowLastColumn="0"/>
              <w:rPr>
                <w:b/>
                <w:bCs/>
              </w:rPr>
            </w:pPr>
            <w:r w:rsidRPr="440E69A3">
              <w:rPr>
                <w:b/>
                <w:bCs/>
              </w:rPr>
              <w:t>ES, EL</w:t>
            </w:r>
          </w:p>
        </w:tc>
      </w:tr>
      <w:tr w:rsidR="00066470" w:rsidRPr="007D72AB" w14:paraId="3DEA336C" w14:textId="77777777" w:rsidTr="440E69A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 w:type="dxa"/>
            <w:vMerge/>
          </w:tcPr>
          <w:p w14:paraId="76AABA79" w14:textId="77777777" w:rsidR="00066470" w:rsidRPr="00075439" w:rsidRDefault="00066470" w:rsidP="00066470">
            <w:pPr>
              <w:pStyle w:val="TableTextleft"/>
              <w:rPr>
                <w:rStyle w:val="Strong"/>
              </w:rPr>
            </w:pPr>
          </w:p>
        </w:tc>
        <w:tc>
          <w:tcPr>
            <w:tcW w:w="482" w:type="dxa"/>
          </w:tcPr>
          <w:p w14:paraId="0EC0AADF" w14:textId="77777777" w:rsidR="00066470" w:rsidRPr="00075439" w:rsidRDefault="440E69A3" w:rsidP="440E69A3">
            <w:pPr>
              <w:pStyle w:val="TableTextleft"/>
              <w:cnfStyle w:val="000000100000" w:firstRow="0" w:lastRow="0" w:firstColumn="0" w:lastColumn="0" w:oddVBand="0" w:evenVBand="0" w:oddHBand="1" w:evenHBand="0" w:firstRowFirstColumn="0" w:firstRowLastColumn="0" w:lastRowFirstColumn="0" w:lastRowLastColumn="0"/>
              <w:rPr>
                <w:rStyle w:val="Strong"/>
                <w:b w:val="0"/>
                <w:bCs w:val="0"/>
              </w:rPr>
            </w:pPr>
            <w:r w:rsidRPr="440E69A3">
              <w:rPr>
                <w:rStyle w:val="Strong"/>
              </w:rPr>
              <w:t>3.4</w:t>
            </w:r>
          </w:p>
        </w:tc>
        <w:tc>
          <w:tcPr>
            <w:tcW w:w="1883" w:type="dxa"/>
            <w:gridSpan w:val="2"/>
          </w:tcPr>
          <w:p w14:paraId="1067EAAE" w14:textId="77777777" w:rsidR="00066470" w:rsidRPr="00075439"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Intelligent fruit logistics</w:t>
            </w:r>
          </w:p>
        </w:tc>
        <w:tc>
          <w:tcPr>
            <w:tcW w:w="4848" w:type="dxa"/>
            <w:gridSpan w:val="2"/>
          </w:tcPr>
          <w:p w14:paraId="7DA2DB7E" w14:textId="77777777" w:rsidR="00066470" w:rsidRPr="00075439"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fresh fruit logistics through virtualization of fruit products by intelligent trays within a low-power long-range network infrastructure</w:t>
            </w:r>
          </w:p>
        </w:tc>
        <w:tc>
          <w:tcPr>
            <w:tcW w:w="1948" w:type="dxa"/>
          </w:tcPr>
          <w:p w14:paraId="6BCB5925"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Returnable Transport Items (RTI) for Fruits packaging and transporting; Field to Fork logistics; Super Market Placing and Monitoring</w:t>
            </w:r>
          </w:p>
        </w:tc>
        <w:tc>
          <w:tcPr>
            <w:tcW w:w="1667" w:type="dxa"/>
          </w:tcPr>
          <w:p w14:paraId="7327E1B1"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Logistics,</w:t>
            </w:r>
          </w:p>
          <w:p w14:paraId="5C0A29E0"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Consumption</w:t>
            </w:r>
          </w:p>
        </w:tc>
        <w:tc>
          <w:tcPr>
            <w:tcW w:w="1653" w:type="dxa"/>
          </w:tcPr>
          <w:p w14:paraId="0CF569D8" w14:textId="77777777" w:rsidR="00066470" w:rsidRPr="00A560FA" w:rsidRDefault="440E69A3" w:rsidP="440E69A3">
            <w:pPr>
              <w:pStyle w:val="TableTextleft"/>
              <w:cnfStyle w:val="000000100000" w:firstRow="0" w:lastRow="0" w:firstColumn="0" w:lastColumn="0" w:oddVBand="0" w:evenVBand="0" w:oddHBand="1" w:evenHBand="0" w:firstRowFirstColumn="0" w:firstRowLastColumn="0" w:lastRowFirstColumn="0" w:lastRowLastColumn="0"/>
              <w:rPr>
                <w:b/>
                <w:bCs/>
              </w:rPr>
            </w:pPr>
            <w:r w:rsidRPr="440E69A3">
              <w:rPr>
                <w:b/>
                <w:bCs/>
              </w:rPr>
              <w:t>DE, NL</w:t>
            </w:r>
          </w:p>
        </w:tc>
      </w:tr>
      <w:tr w:rsidR="00066470" w:rsidRPr="00A9724C" w14:paraId="2F404271" w14:textId="77777777" w:rsidTr="440E69A3">
        <w:tc>
          <w:tcPr>
            <w:tcW w:w="580" w:type="dxa"/>
            <w:shd w:val="clear" w:color="auto" w:fill="92D050"/>
          </w:tcPr>
          <w:p w14:paraId="5CC399AA" w14:textId="77777777" w:rsidR="00066470" w:rsidRPr="00A9724C" w:rsidRDefault="00066470" w:rsidP="00066470">
            <w:pPr>
              <w:pStyle w:val="TableTextleft"/>
              <w:rPr>
                <w:b/>
              </w:rPr>
            </w:pPr>
          </w:p>
        </w:tc>
        <w:tc>
          <w:tcPr>
            <w:tcW w:w="1681" w:type="dxa"/>
            <w:gridSpan w:val="2"/>
            <w:shd w:val="clear" w:color="auto" w:fill="92D050"/>
          </w:tcPr>
          <w:p w14:paraId="56EAEA05" w14:textId="77777777" w:rsidR="00066470" w:rsidRPr="00A9724C" w:rsidRDefault="00066470" w:rsidP="00066470">
            <w:pPr>
              <w:pStyle w:val="TableTextleft"/>
              <w:rPr>
                <w:b/>
              </w:rPr>
            </w:pPr>
          </w:p>
        </w:tc>
        <w:tc>
          <w:tcPr>
            <w:tcW w:w="1641" w:type="dxa"/>
            <w:gridSpan w:val="2"/>
            <w:shd w:val="clear" w:color="auto" w:fill="92D050"/>
          </w:tcPr>
          <w:p w14:paraId="0D20A4CD" w14:textId="77777777" w:rsidR="00066470" w:rsidRPr="00A9724C" w:rsidRDefault="00066470" w:rsidP="00066470">
            <w:pPr>
              <w:pStyle w:val="TableTextleft"/>
              <w:rPr>
                <w:b/>
              </w:rPr>
            </w:pPr>
          </w:p>
        </w:tc>
        <w:tc>
          <w:tcPr>
            <w:tcW w:w="9159" w:type="dxa"/>
            <w:gridSpan w:val="4"/>
            <w:shd w:val="clear" w:color="auto" w:fill="92D050"/>
          </w:tcPr>
          <w:p w14:paraId="385EFDED" w14:textId="77777777" w:rsidR="00066470" w:rsidRPr="00A9724C" w:rsidRDefault="440E69A3" w:rsidP="440E69A3">
            <w:pPr>
              <w:pStyle w:val="TableTextleft"/>
              <w:rPr>
                <w:b/>
                <w:bCs/>
              </w:rPr>
            </w:pPr>
            <w:r w:rsidRPr="440E69A3">
              <w:rPr>
                <w:b/>
                <w:bCs/>
              </w:rPr>
              <w:t>The Internet of Vegetables</w:t>
            </w:r>
          </w:p>
        </w:tc>
      </w:tr>
      <w:tr w:rsidR="00066470" w:rsidRPr="007D72AB" w14:paraId="684E156F" w14:textId="77777777" w:rsidTr="440E69A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80" w:type="dxa"/>
            <w:vMerge w:val="restart"/>
            <w:textDirection w:val="btLr"/>
          </w:tcPr>
          <w:p w14:paraId="4F41BE9E" w14:textId="77777777" w:rsidR="00066470" w:rsidRPr="00EB5541" w:rsidRDefault="440E69A3" w:rsidP="00066470">
            <w:pPr>
              <w:pStyle w:val="TableTextleft"/>
              <w:ind w:left="113" w:right="113"/>
            </w:pPr>
            <w:r>
              <w:lastRenderedPageBreak/>
              <w:t>T4 Vegetables</w:t>
            </w:r>
          </w:p>
        </w:tc>
        <w:tc>
          <w:tcPr>
            <w:tcW w:w="482" w:type="dxa"/>
          </w:tcPr>
          <w:p w14:paraId="283A9DE0"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4.1</w:t>
            </w:r>
          </w:p>
        </w:tc>
        <w:tc>
          <w:tcPr>
            <w:tcW w:w="1883" w:type="dxa"/>
            <w:gridSpan w:val="2"/>
          </w:tcPr>
          <w:p w14:paraId="6BC7521F" w14:textId="77777777" w:rsidR="00066470" w:rsidRPr="00EB5541" w:rsidRDefault="440E69A3" w:rsidP="440E69A3">
            <w:pPr>
              <w:pStyle w:val="TableTextleft"/>
              <w:cnfStyle w:val="000000100000" w:firstRow="0" w:lastRow="0" w:firstColumn="0" w:lastColumn="0" w:oddVBand="0" w:evenVBand="0" w:oddHBand="1" w:evenHBand="0" w:firstRowFirstColumn="0" w:firstRowLastColumn="0" w:lastRowFirstColumn="0" w:lastRowLastColumn="0"/>
              <w:rPr>
                <w:rStyle w:val="Strong"/>
                <w:rFonts w:ascii="Arial Narrow" w:hAnsi="Arial Narrow"/>
              </w:rPr>
            </w:pPr>
            <w:r>
              <w:t>City farming leafy vegetables</w:t>
            </w:r>
          </w:p>
        </w:tc>
        <w:tc>
          <w:tcPr>
            <w:tcW w:w="4848" w:type="dxa"/>
            <w:gridSpan w:val="2"/>
          </w:tcPr>
          <w:p w14:paraId="58A64E7F" w14:textId="77777777" w:rsidR="00066470" w:rsidRPr="00EB5541" w:rsidRDefault="440E69A3" w:rsidP="440E69A3">
            <w:pPr>
              <w:pStyle w:val="TableTextleft"/>
              <w:cnfStyle w:val="000000100000" w:firstRow="0" w:lastRow="0" w:firstColumn="0" w:lastColumn="0" w:oddVBand="0" w:evenVBand="0" w:oddHBand="1" w:evenHBand="0" w:firstRowFirstColumn="0" w:firstRowLastColumn="0" w:lastRowFirstColumn="0" w:lastRowLastColumn="0"/>
              <w:rPr>
                <w:rStyle w:val="Strong"/>
                <w:rFonts w:ascii="Arial Narrow" w:hAnsi="Arial Narrow"/>
              </w:rPr>
            </w:pPr>
            <w:r>
              <w:t>value chain innovation for leafy vegetables in convenience foods by integrated indoor climate control and logistics</w:t>
            </w:r>
          </w:p>
        </w:tc>
        <w:tc>
          <w:tcPr>
            <w:tcW w:w="1948" w:type="dxa"/>
          </w:tcPr>
          <w:p w14:paraId="7F1E32E1"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Advanced sensing of crop conditions in indoor farming; Automatic execution of growth recipes; Integrate production with processing &amp; distribution</w:t>
            </w:r>
          </w:p>
        </w:tc>
        <w:tc>
          <w:tcPr>
            <w:tcW w:w="1667" w:type="dxa"/>
          </w:tcPr>
          <w:p w14:paraId="4492CC49"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(City) Farming, Logistics</w:t>
            </w:r>
          </w:p>
        </w:tc>
        <w:tc>
          <w:tcPr>
            <w:tcW w:w="1653" w:type="dxa"/>
          </w:tcPr>
          <w:p w14:paraId="4EB3F1BF" w14:textId="77777777" w:rsidR="00066470" w:rsidRPr="0050403D" w:rsidRDefault="440E69A3" w:rsidP="440E69A3">
            <w:pPr>
              <w:pStyle w:val="TableTextleft"/>
              <w:cnfStyle w:val="000000100000" w:firstRow="0" w:lastRow="0" w:firstColumn="0" w:lastColumn="0" w:oddVBand="0" w:evenVBand="0" w:oddHBand="1" w:evenHBand="0" w:firstRowFirstColumn="0" w:firstRowLastColumn="0" w:lastRowFirstColumn="0" w:lastRowLastColumn="0"/>
              <w:rPr>
                <w:b/>
                <w:bCs/>
              </w:rPr>
            </w:pPr>
            <w:r w:rsidRPr="440E69A3">
              <w:rPr>
                <w:b/>
                <w:bCs/>
              </w:rPr>
              <w:t>NL</w:t>
            </w:r>
          </w:p>
        </w:tc>
      </w:tr>
      <w:tr w:rsidR="00066470" w:rsidRPr="007D72AB" w14:paraId="5E31D7DC" w14:textId="77777777" w:rsidTr="440E69A3">
        <w:tblPrEx>
          <w:tblLook w:val="04A0" w:firstRow="1" w:lastRow="0" w:firstColumn="1" w:lastColumn="0" w:noHBand="0" w:noVBand="1"/>
        </w:tblPrEx>
        <w:trPr>
          <w:cantSplit/>
          <w:trHeight w:val="1134"/>
        </w:trPr>
        <w:tc>
          <w:tcPr>
            <w:cnfStyle w:val="001000000000" w:firstRow="0" w:lastRow="0" w:firstColumn="1" w:lastColumn="0" w:oddVBand="0" w:evenVBand="0" w:oddHBand="0" w:evenHBand="0" w:firstRowFirstColumn="0" w:firstRowLastColumn="0" w:lastRowFirstColumn="0" w:lastRowLastColumn="0"/>
            <w:tcW w:w="580" w:type="dxa"/>
            <w:vMerge/>
            <w:textDirection w:val="btLr"/>
          </w:tcPr>
          <w:p w14:paraId="1699367E" w14:textId="77777777" w:rsidR="00066470" w:rsidRPr="00EB5541" w:rsidRDefault="00066470" w:rsidP="00066470">
            <w:pPr>
              <w:pStyle w:val="TableTextleft"/>
              <w:ind w:left="113" w:right="113"/>
            </w:pPr>
          </w:p>
        </w:tc>
        <w:tc>
          <w:tcPr>
            <w:tcW w:w="482" w:type="dxa"/>
          </w:tcPr>
          <w:p w14:paraId="0ECC3A39"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4.2</w:t>
            </w:r>
          </w:p>
        </w:tc>
        <w:tc>
          <w:tcPr>
            <w:tcW w:w="1883" w:type="dxa"/>
            <w:gridSpan w:val="2"/>
          </w:tcPr>
          <w:p w14:paraId="4BE243E5"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Chain-integrated greenhouse production</w:t>
            </w:r>
          </w:p>
        </w:tc>
        <w:tc>
          <w:tcPr>
            <w:tcW w:w="4848" w:type="dxa"/>
            <w:gridSpan w:val="2"/>
          </w:tcPr>
          <w:p w14:paraId="425381F5"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integrating the value chain and quality innovation by developing a full sensor-actuator-based system in tomato greenhouses</w:t>
            </w:r>
          </w:p>
        </w:tc>
        <w:tc>
          <w:tcPr>
            <w:tcW w:w="1948" w:type="dxa"/>
          </w:tcPr>
          <w:p w14:paraId="18AD5EB6"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Traceability and monitoring ambient conditions of fresh tomatoes along value chains; Pesticide residue management; Energy efficiency management</w:t>
            </w:r>
          </w:p>
        </w:tc>
        <w:tc>
          <w:tcPr>
            <w:tcW w:w="1667" w:type="dxa"/>
          </w:tcPr>
          <w:p w14:paraId="4E172344"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Farming, Logistics, Consumption</w:t>
            </w:r>
          </w:p>
        </w:tc>
        <w:tc>
          <w:tcPr>
            <w:tcW w:w="1653" w:type="dxa"/>
          </w:tcPr>
          <w:p w14:paraId="68B0B58D"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rsidRPr="440E69A3">
              <w:rPr>
                <w:b/>
                <w:bCs/>
              </w:rPr>
              <w:t>ES</w:t>
            </w:r>
            <w:r>
              <w:t>, IT</w:t>
            </w:r>
          </w:p>
        </w:tc>
      </w:tr>
      <w:tr w:rsidR="00066470" w:rsidRPr="007D72AB" w14:paraId="48D168DA" w14:textId="77777777" w:rsidTr="440E69A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80" w:type="dxa"/>
            <w:vMerge/>
            <w:textDirection w:val="btLr"/>
          </w:tcPr>
          <w:p w14:paraId="3932F381" w14:textId="77777777" w:rsidR="00066470" w:rsidRPr="00EB5541" w:rsidRDefault="00066470" w:rsidP="00066470">
            <w:pPr>
              <w:pStyle w:val="TableTextleft"/>
              <w:ind w:left="113" w:right="113"/>
            </w:pPr>
          </w:p>
        </w:tc>
        <w:tc>
          <w:tcPr>
            <w:tcW w:w="482" w:type="dxa"/>
          </w:tcPr>
          <w:p w14:paraId="72B47ADF"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4.3</w:t>
            </w:r>
          </w:p>
        </w:tc>
        <w:tc>
          <w:tcPr>
            <w:tcW w:w="1883" w:type="dxa"/>
            <w:gridSpan w:val="2"/>
          </w:tcPr>
          <w:p w14:paraId="10DAA324"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 xml:space="preserve">Added value weeding data </w:t>
            </w:r>
          </w:p>
        </w:tc>
        <w:tc>
          <w:tcPr>
            <w:tcW w:w="4848" w:type="dxa"/>
            <w:gridSpan w:val="2"/>
          </w:tcPr>
          <w:p w14:paraId="2EB165BC"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 xml:space="preserve">boosting the value chain by harvesting weeding data of organic vegetables obtained by advanced visioning systems </w:t>
            </w:r>
          </w:p>
        </w:tc>
        <w:tc>
          <w:tcPr>
            <w:tcW w:w="1948" w:type="dxa"/>
          </w:tcPr>
          <w:p w14:paraId="6698A5FA" w14:textId="77777777" w:rsidR="00066470" w:rsidRPr="007B6A43"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Automated weed control; Crop monitoring and harvest prediction based on weeding data; Optimizing weeding efficiency</w:t>
            </w:r>
          </w:p>
        </w:tc>
        <w:tc>
          <w:tcPr>
            <w:tcW w:w="1667" w:type="dxa"/>
          </w:tcPr>
          <w:p w14:paraId="09244902" w14:textId="77777777" w:rsidR="00066470" w:rsidRPr="007B6A43"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Farming</w:t>
            </w:r>
          </w:p>
        </w:tc>
        <w:tc>
          <w:tcPr>
            <w:tcW w:w="1653" w:type="dxa"/>
          </w:tcPr>
          <w:p w14:paraId="50117564"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rsidRPr="440E69A3">
              <w:rPr>
                <w:b/>
                <w:bCs/>
              </w:rPr>
              <w:t>NL</w:t>
            </w:r>
            <w:r>
              <w:t xml:space="preserve">, </w:t>
            </w:r>
            <w:r w:rsidRPr="00A11B86">
              <w:t>AT</w:t>
            </w:r>
          </w:p>
        </w:tc>
      </w:tr>
      <w:tr w:rsidR="00066470" w:rsidRPr="007D72AB" w14:paraId="30656A68" w14:textId="77777777" w:rsidTr="440E69A3">
        <w:tblPrEx>
          <w:tblLook w:val="04A0" w:firstRow="1" w:lastRow="0" w:firstColumn="1" w:lastColumn="0" w:noHBand="0" w:noVBand="1"/>
        </w:tblPrEx>
        <w:trPr>
          <w:cantSplit/>
          <w:trHeight w:val="1134"/>
        </w:trPr>
        <w:tc>
          <w:tcPr>
            <w:cnfStyle w:val="001000000000" w:firstRow="0" w:lastRow="0" w:firstColumn="1" w:lastColumn="0" w:oddVBand="0" w:evenVBand="0" w:oddHBand="0" w:evenHBand="0" w:firstRowFirstColumn="0" w:firstRowLastColumn="0" w:lastRowFirstColumn="0" w:lastRowLastColumn="0"/>
            <w:tcW w:w="580" w:type="dxa"/>
            <w:vMerge/>
            <w:textDirection w:val="btLr"/>
          </w:tcPr>
          <w:p w14:paraId="24B03FC6" w14:textId="77777777" w:rsidR="00066470" w:rsidRPr="00EB5541" w:rsidRDefault="00066470" w:rsidP="00066470">
            <w:pPr>
              <w:pStyle w:val="TableTextleft"/>
              <w:ind w:left="113" w:right="113"/>
            </w:pPr>
          </w:p>
        </w:tc>
        <w:tc>
          <w:tcPr>
            <w:tcW w:w="482" w:type="dxa"/>
          </w:tcPr>
          <w:p w14:paraId="188B5AD6"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4.4</w:t>
            </w:r>
          </w:p>
        </w:tc>
        <w:tc>
          <w:tcPr>
            <w:tcW w:w="1883" w:type="dxa"/>
            <w:gridSpan w:val="2"/>
          </w:tcPr>
          <w:p w14:paraId="3528774B"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Enhanced quality certification system</w:t>
            </w:r>
          </w:p>
        </w:tc>
        <w:tc>
          <w:tcPr>
            <w:tcW w:w="4848" w:type="dxa"/>
            <w:gridSpan w:val="2"/>
          </w:tcPr>
          <w:p w14:paraId="6C7550E2"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enhanced trust and simplification of quality certification systems by use of sensors, RFID tags and intelligent chain analyses</w:t>
            </w:r>
          </w:p>
        </w:tc>
        <w:tc>
          <w:tcPr>
            <w:tcW w:w="1948" w:type="dxa"/>
          </w:tcPr>
          <w:p w14:paraId="6BACE9BB"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Compliance to PDO, organic and GlobalGap certification; tracking and tracing, verification of product origin and production method</w:t>
            </w:r>
          </w:p>
        </w:tc>
        <w:tc>
          <w:tcPr>
            <w:tcW w:w="1667" w:type="dxa"/>
          </w:tcPr>
          <w:p w14:paraId="638FA00B"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Farming, Logistics, Consumption</w:t>
            </w:r>
          </w:p>
        </w:tc>
        <w:tc>
          <w:tcPr>
            <w:tcW w:w="1653" w:type="dxa"/>
          </w:tcPr>
          <w:p w14:paraId="17FBC29B"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rsidRPr="440E69A3">
              <w:rPr>
                <w:b/>
                <w:bCs/>
              </w:rPr>
              <w:t>IT</w:t>
            </w:r>
            <w:r>
              <w:t>, ES</w:t>
            </w:r>
          </w:p>
        </w:tc>
      </w:tr>
      <w:tr w:rsidR="00066470" w:rsidRPr="00A9724C" w14:paraId="1D0DCBF7" w14:textId="77777777" w:rsidTr="440E69A3">
        <w:trPr>
          <w:cnfStyle w:val="000000100000" w:firstRow="0" w:lastRow="0" w:firstColumn="0" w:lastColumn="0" w:oddVBand="0" w:evenVBand="0" w:oddHBand="1" w:evenHBand="0" w:firstRowFirstColumn="0" w:firstRowLastColumn="0" w:lastRowFirstColumn="0" w:lastRowLastColumn="0"/>
        </w:trPr>
        <w:tc>
          <w:tcPr>
            <w:tcW w:w="580" w:type="dxa"/>
            <w:shd w:val="clear" w:color="auto" w:fill="92D050"/>
          </w:tcPr>
          <w:p w14:paraId="3DAFF72A" w14:textId="77777777" w:rsidR="00066470" w:rsidRPr="00A9724C" w:rsidRDefault="00066470" w:rsidP="00066470">
            <w:pPr>
              <w:pStyle w:val="TableTextleft"/>
              <w:rPr>
                <w:b/>
              </w:rPr>
            </w:pPr>
          </w:p>
        </w:tc>
        <w:tc>
          <w:tcPr>
            <w:tcW w:w="1681" w:type="dxa"/>
            <w:gridSpan w:val="2"/>
            <w:shd w:val="clear" w:color="auto" w:fill="92D050"/>
          </w:tcPr>
          <w:p w14:paraId="22A9E8DE" w14:textId="77777777" w:rsidR="00066470" w:rsidRPr="00A9724C" w:rsidRDefault="00066470" w:rsidP="00066470">
            <w:pPr>
              <w:pStyle w:val="TableTextleft"/>
              <w:rPr>
                <w:b/>
              </w:rPr>
            </w:pPr>
          </w:p>
        </w:tc>
        <w:tc>
          <w:tcPr>
            <w:tcW w:w="1641" w:type="dxa"/>
            <w:gridSpan w:val="2"/>
            <w:shd w:val="clear" w:color="auto" w:fill="92D050"/>
          </w:tcPr>
          <w:p w14:paraId="6B57419F" w14:textId="77777777" w:rsidR="00066470" w:rsidRPr="00A9724C" w:rsidRDefault="00066470" w:rsidP="00066470">
            <w:pPr>
              <w:pStyle w:val="TableTextleft"/>
              <w:rPr>
                <w:b/>
              </w:rPr>
            </w:pPr>
          </w:p>
        </w:tc>
        <w:tc>
          <w:tcPr>
            <w:tcW w:w="9159" w:type="dxa"/>
            <w:gridSpan w:val="4"/>
            <w:shd w:val="clear" w:color="auto" w:fill="92D050"/>
          </w:tcPr>
          <w:p w14:paraId="0D7D5AB7" w14:textId="77777777" w:rsidR="00066470" w:rsidRPr="00A9724C" w:rsidRDefault="440E69A3" w:rsidP="440E69A3">
            <w:pPr>
              <w:pStyle w:val="TableTextleft"/>
              <w:rPr>
                <w:b/>
                <w:bCs/>
              </w:rPr>
            </w:pPr>
            <w:r w:rsidRPr="440E69A3">
              <w:rPr>
                <w:b/>
                <w:bCs/>
              </w:rPr>
              <w:t>The Internet of Meat</w:t>
            </w:r>
          </w:p>
        </w:tc>
      </w:tr>
      <w:tr w:rsidR="00066470" w:rsidRPr="007D72AB" w14:paraId="6907B7AE" w14:textId="77777777" w:rsidTr="440E69A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80" w:type="dxa"/>
            <w:vMerge w:val="restart"/>
            <w:textDirection w:val="btLr"/>
          </w:tcPr>
          <w:p w14:paraId="35568006" w14:textId="77777777" w:rsidR="00066470" w:rsidRPr="00075439" w:rsidRDefault="440E69A3" w:rsidP="440E69A3">
            <w:pPr>
              <w:pStyle w:val="TableTextleft"/>
              <w:ind w:left="113" w:right="113"/>
              <w:jc w:val="center"/>
              <w:rPr>
                <w:rStyle w:val="Strong"/>
              </w:rPr>
            </w:pPr>
            <w:r>
              <w:t>T5 Meat</w:t>
            </w:r>
          </w:p>
        </w:tc>
        <w:tc>
          <w:tcPr>
            <w:tcW w:w="482" w:type="dxa"/>
          </w:tcPr>
          <w:p w14:paraId="527A2FFC" w14:textId="77777777" w:rsidR="00066470" w:rsidRPr="00075439" w:rsidRDefault="440E69A3" w:rsidP="440E69A3">
            <w:pPr>
              <w:pStyle w:val="TableTextleft"/>
              <w:cnfStyle w:val="000000000000" w:firstRow="0" w:lastRow="0" w:firstColumn="0" w:lastColumn="0" w:oddVBand="0" w:evenVBand="0" w:oddHBand="0" w:evenHBand="0" w:firstRowFirstColumn="0" w:firstRowLastColumn="0" w:lastRowFirstColumn="0" w:lastRowLastColumn="0"/>
              <w:rPr>
                <w:rStyle w:val="Strong"/>
                <w:b w:val="0"/>
                <w:bCs w:val="0"/>
              </w:rPr>
            </w:pPr>
            <w:r w:rsidRPr="440E69A3">
              <w:rPr>
                <w:rStyle w:val="Strong"/>
              </w:rPr>
              <w:t>5.1</w:t>
            </w:r>
          </w:p>
        </w:tc>
        <w:tc>
          <w:tcPr>
            <w:tcW w:w="1883" w:type="dxa"/>
            <w:gridSpan w:val="2"/>
          </w:tcPr>
          <w:p w14:paraId="348FAD2A" w14:textId="77777777" w:rsidR="00066470" w:rsidRPr="00075439" w:rsidRDefault="440E69A3" w:rsidP="440E69A3">
            <w:pPr>
              <w:pStyle w:val="TableTextleft"/>
              <w:cnfStyle w:val="000000000000" w:firstRow="0" w:lastRow="0" w:firstColumn="0" w:lastColumn="0" w:oddVBand="0" w:evenVBand="0" w:oddHBand="0" w:evenHBand="0" w:firstRowFirstColumn="0" w:firstRowLastColumn="0" w:lastRowFirstColumn="0" w:lastRowLastColumn="0"/>
              <w:rPr>
                <w:rStyle w:val="Strong"/>
                <w:b w:val="0"/>
                <w:bCs w:val="0"/>
              </w:rPr>
            </w:pPr>
            <w:r>
              <w:t>Pig farm management</w:t>
            </w:r>
          </w:p>
        </w:tc>
        <w:tc>
          <w:tcPr>
            <w:tcW w:w="4848" w:type="dxa"/>
            <w:gridSpan w:val="2"/>
          </w:tcPr>
          <w:p w14:paraId="06F2FD34" w14:textId="77777777" w:rsidR="00066470" w:rsidRPr="00075439" w:rsidRDefault="440E69A3" w:rsidP="440E69A3">
            <w:pPr>
              <w:pStyle w:val="TableTextleft"/>
              <w:cnfStyle w:val="000000000000" w:firstRow="0" w:lastRow="0" w:firstColumn="0" w:lastColumn="0" w:oddVBand="0" w:evenVBand="0" w:oddHBand="0" w:evenHBand="0" w:firstRowFirstColumn="0" w:firstRowLastColumn="0" w:lastRowFirstColumn="0" w:lastRowLastColumn="0"/>
              <w:rPr>
                <w:rStyle w:val="Strong"/>
                <w:b w:val="0"/>
                <w:bCs w:val="0"/>
              </w:rPr>
            </w:pPr>
            <w:r>
              <w:t>Optimise pig production management by interoperable on-farm sensors and slaughter house data</w:t>
            </w:r>
          </w:p>
        </w:tc>
        <w:tc>
          <w:tcPr>
            <w:tcW w:w="1948" w:type="dxa"/>
          </w:tcPr>
          <w:p w14:paraId="32E8584F"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Pig production monitoring and early warning; Boar taint detection; Informing consumers about production conditions</w:t>
            </w:r>
          </w:p>
        </w:tc>
        <w:tc>
          <w:tcPr>
            <w:tcW w:w="1667" w:type="dxa"/>
          </w:tcPr>
          <w:p w14:paraId="16908CD1"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Farming, Processing, Consumption</w:t>
            </w:r>
          </w:p>
        </w:tc>
        <w:tc>
          <w:tcPr>
            <w:tcW w:w="1653" w:type="dxa"/>
          </w:tcPr>
          <w:p w14:paraId="4276F7A8" w14:textId="77777777" w:rsidR="00066470" w:rsidRPr="00075439"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rsidRPr="440E69A3">
              <w:rPr>
                <w:b/>
                <w:bCs/>
              </w:rPr>
              <w:t>BE, NL</w:t>
            </w:r>
            <w:r>
              <w:t>, IT</w:t>
            </w:r>
          </w:p>
        </w:tc>
      </w:tr>
      <w:tr w:rsidR="00066470" w:rsidRPr="007D72AB" w14:paraId="00F9155F" w14:textId="77777777" w:rsidTr="440E69A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 w:type="dxa"/>
            <w:vMerge/>
          </w:tcPr>
          <w:p w14:paraId="681E6B45" w14:textId="77777777" w:rsidR="00066470" w:rsidRPr="00075439" w:rsidRDefault="00066470" w:rsidP="00066470">
            <w:pPr>
              <w:pStyle w:val="TableTextleft"/>
              <w:rPr>
                <w:rStyle w:val="Strong"/>
              </w:rPr>
            </w:pPr>
          </w:p>
        </w:tc>
        <w:tc>
          <w:tcPr>
            <w:tcW w:w="482" w:type="dxa"/>
          </w:tcPr>
          <w:p w14:paraId="720626D5" w14:textId="77777777" w:rsidR="00066470" w:rsidRPr="00075439" w:rsidRDefault="440E69A3" w:rsidP="440E69A3">
            <w:pPr>
              <w:pStyle w:val="TableTextleft"/>
              <w:cnfStyle w:val="000000100000" w:firstRow="0" w:lastRow="0" w:firstColumn="0" w:lastColumn="0" w:oddVBand="0" w:evenVBand="0" w:oddHBand="1" w:evenHBand="0" w:firstRowFirstColumn="0" w:firstRowLastColumn="0" w:lastRowFirstColumn="0" w:lastRowLastColumn="0"/>
              <w:rPr>
                <w:rStyle w:val="Strong"/>
                <w:b w:val="0"/>
                <w:bCs w:val="0"/>
              </w:rPr>
            </w:pPr>
            <w:r w:rsidRPr="440E69A3">
              <w:rPr>
                <w:rStyle w:val="Strong"/>
              </w:rPr>
              <w:t>5.2</w:t>
            </w:r>
          </w:p>
        </w:tc>
        <w:tc>
          <w:tcPr>
            <w:tcW w:w="1883" w:type="dxa"/>
            <w:gridSpan w:val="2"/>
          </w:tcPr>
          <w:p w14:paraId="710CA160" w14:textId="77777777" w:rsidR="00066470" w:rsidRPr="00075439"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Poultry chain management</w:t>
            </w:r>
          </w:p>
        </w:tc>
        <w:tc>
          <w:tcPr>
            <w:tcW w:w="4848" w:type="dxa"/>
            <w:gridSpan w:val="2"/>
          </w:tcPr>
          <w:p w14:paraId="0C97E494" w14:textId="77777777" w:rsidR="00066470" w:rsidRPr="00075439"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Optimize production, transport and processing of poultry meat by automated ambient monitoring &amp; control and data analyses</w:t>
            </w:r>
          </w:p>
        </w:tc>
        <w:tc>
          <w:tcPr>
            <w:tcW w:w="1948" w:type="dxa"/>
          </w:tcPr>
          <w:p w14:paraId="3A28A941"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Poultry growth monitoring and weight prediction; Monitoring of picking &amp; logistics; Poultry category assessment slaughterhouse</w:t>
            </w:r>
          </w:p>
        </w:tc>
        <w:tc>
          <w:tcPr>
            <w:tcW w:w="1667" w:type="dxa"/>
          </w:tcPr>
          <w:p w14:paraId="44F1F1E3"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Farming, Logistics, Processing</w:t>
            </w:r>
          </w:p>
        </w:tc>
        <w:tc>
          <w:tcPr>
            <w:tcW w:w="1653" w:type="dxa"/>
          </w:tcPr>
          <w:p w14:paraId="10D9720D" w14:textId="77777777" w:rsidR="00066470" w:rsidRPr="00075439"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rsidRPr="440E69A3">
              <w:rPr>
                <w:b/>
                <w:bCs/>
              </w:rPr>
              <w:t>ES</w:t>
            </w:r>
            <w:r>
              <w:t>, BE</w:t>
            </w:r>
          </w:p>
        </w:tc>
      </w:tr>
      <w:tr w:rsidR="00066470" w:rsidRPr="007D72AB" w14:paraId="1DA22C25" w14:textId="77777777" w:rsidTr="440E69A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80" w:type="dxa"/>
            <w:vMerge/>
          </w:tcPr>
          <w:p w14:paraId="6EB59D46" w14:textId="77777777" w:rsidR="00066470" w:rsidRPr="00075439" w:rsidRDefault="00066470" w:rsidP="00066470">
            <w:pPr>
              <w:pStyle w:val="TableTextleft"/>
              <w:rPr>
                <w:rStyle w:val="Strong"/>
              </w:rPr>
            </w:pPr>
          </w:p>
        </w:tc>
        <w:tc>
          <w:tcPr>
            <w:tcW w:w="482" w:type="dxa"/>
          </w:tcPr>
          <w:p w14:paraId="485F7660" w14:textId="77777777" w:rsidR="00066470" w:rsidRPr="00075439" w:rsidRDefault="440E69A3" w:rsidP="440E69A3">
            <w:pPr>
              <w:pStyle w:val="TableTextleft"/>
              <w:cnfStyle w:val="000000000000" w:firstRow="0" w:lastRow="0" w:firstColumn="0" w:lastColumn="0" w:oddVBand="0" w:evenVBand="0" w:oddHBand="0" w:evenHBand="0" w:firstRowFirstColumn="0" w:firstRowLastColumn="0" w:lastRowFirstColumn="0" w:lastRowLastColumn="0"/>
              <w:rPr>
                <w:rStyle w:val="Strong"/>
                <w:b w:val="0"/>
                <w:bCs w:val="0"/>
              </w:rPr>
            </w:pPr>
            <w:r w:rsidRPr="440E69A3">
              <w:rPr>
                <w:rStyle w:val="Strong"/>
              </w:rPr>
              <w:t>5.3</w:t>
            </w:r>
          </w:p>
        </w:tc>
        <w:tc>
          <w:tcPr>
            <w:tcW w:w="1883" w:type="dxa"/>
            <w:gridSpan w:val="2"/>
          </w:tcPr>
          <w:p w14:paraId="114D0E21" w14:textId="77777777" w:rsidR="00066470" w:rsidRPr="00075439"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Meat Transparency and Traceability</w:t>
            </w:r>
          </w:p>
        </w:tc>
        <w:tc>
          <w:tcPr>
            <w:tcW w:w="4848" w:type="dxa"/>
            <w:gridSpan w:val="2"/>
          </w:tcPr>
          <w:p w14:paraId="5423C5E1" w14:textId="77777777" w:rsidR="00066470" w:rsidRPr="00075439"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Enhancing transparency and traceability of meat based on an monitored chain event data in an EPCIS-infrastructure</w:t>
            </w:r>
          </w:p>
        </w:tc>
        <w:tc>
          <w:tcPr>
            <w:tcW w:w="1948" w:type="dxa"/>
          </w:tcPr>
          <w:p w14:paraId="7B6B23EC"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Transparency food safety and quality information; Cold chain monitoring; Quality decay prediction and pro-active alerts</w:t>
            </w:r>
          </w:p>
        </w:tc>
        <w:tc>
          <w:tcPr>
            <w:tcW w:w="1667" w:type="dxa"/>
          </w:tcPr>
          <w:p w14:paraId="584E171C"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Farming, Logistics, Processing, Consumption</w:t>
            </w:r>
          </w:p>
        </w:tc>
        <w:tc>
          <w:tcPr>
            <w:tcW w:w="1653" w:type="dxa"/>
          </w:tcPr>
          <w:p w14:paraId="46D9691C" w14:textId="77777777" w:rsidR="00066470" w:rsidRPr="00075439"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rsidRPr="00A11B86">
              <w:rPr>
                <w:b/>
                <w:bCs/>
              </w:rPr>
              <w:t>NL</w:t>
            </w:r>
            <w:r w:rsidRPr="00A11B86">
              <w:t>, DE</w:t>
            </w:r>
          </w:p>
        </w:tc>
      </w:tr>
    </w:tbl>
    <w:p w14:paraId="71843A2A" w14:textId="77777777" w:rsidR="00066470" w:rsidRDefault="00066470" w:rsidP="00066470">
      <w:pPr>
        <w:rPr>
          <w:lang w:val="en-GB"/>
        </w:rPr>
        <w:sectPr w:rsidR="00066470" w:rsidSect="0018551C">
          <w:pgSz w:w="16840" w:h="11900" w:orient="landscape"/>
          <w:pgMar w:top="1417" w:right="2245" w:bottom="1417" w:left="1417" w:header="708" w:footer="708" w:gutter="0"/>
          <w:cols w:space="708"/>
          <w:docGrid w:linePitch="360"/>
        </w:sectPr>
      </w:pPr>
    </w:p>
    <w:p w14:paraId="78B85C55" w14:textId="77777777" w:rsidR="004A5BAE" w:rsidRPr="004A5BAE" w:rsidRDefault="440E69A3" w:rsidP="440E69A3">
      <w:pPr>
        <w:rPr>
          <w:lang w:val="en-GB"/>
        </w:rPr>
      </w:pPr>
      <w:bookmarkStart w:id="34" w:name="_Ref507184107"/>
      <w:bookmarkStart w:id="35" w:name="_Ref448133910"/>
      <w:r w:rsidRPr="440E69A3">
        <w:rPr>
          <w:lang w:val="en-GB"/>
        </w:rPr>
        <w:lastRenderedPageBreak/>
        <w:t>Table 2 is generally structured according to an underlying architectural model, mainly differentiating the technology in three main layers. The IoT device layer is grouping all the hardware that is mainly used for sensing and actuating, usually deployed in the end-user related environment. The IoT integration and communication layer is listing those components that are usually kind of third party systems or platforms taking care for data gathering as well as data aggregation and storage. The IoT application layer is listing the software that is providing the key features for the envisaged end-user related solutions. It should be noted that the presented infrastructure reflects the initial results for test and validation, while this will be further extended along the realisation of the IoF2020 project.</w:t>
      </w:r>
    </w:p>
    <w:p w14:paraId="53BB2B7A" w14:textId="77777777" w:rsidR="004A5BAE" w:rsidRPr="004A5BAE" w:rsidRDefault="440E69A3" w:rsidP="00765189">
      <w:pPr>
        <w:rPr>
          <w:lang w:val="en-GB"/>
        </w:rPr>
      </w:pPr>
      <w:r w:rsidRPr="440E69A3">
        <w:rPr>
          <w:lang w:val="en-GB"/>
        </w:rPr>
        <w:t>This shall help potential proposers to understand the current dimension for test and validation. Envisaged proposals can also propose new opportunities to scale up the initial solutions with their end-users as well as integrating with their new developments to be proposed.</w:t>
      </w:r>
      <w:r w:rsidR="00376A9F" w:rsidRPr="00376A9F">
        <w:rPr>
          <w:lang w:val="en-GB"/>
        </w:rPr>
        <w:t xml:space="preserve"> </w:t>
      </w:r>
      <w:r w:rsidR="00765189">
        <w:rPr>
          <w:lang w:val="en-GB"/>
        </w:rPr>
        <w:t>N</w:t>
      </w:r>
      <w:r w:rsidR="00765189" w:rsidRPr="00376A9F">
        <w:rPr>
          <w:lang w:val="en-GB"/>
        </w:rPr>
        <w:t xml:space="preserve">ew use cases </w:t>
      </w:r>
      <w:r w:rsidR="00765189">
        <w:rPr>
          <w:lang w:val="en-GB"/>
        </w:rPr>
        <w:t xml:space="preserve">are encouraged to think about possibilities to reuse IoT technology from current use cases, for example by combining current IoF2020-solutions with their own equipment. Applicants can ask questions about </w:t>
      </w:r>
      <w:r w:rsidR="00765189" w:rsidRPr="00376A9F">
        <w:rPr>
          <w:lang w:val="en-GB"/>
        </w:rPr>
        <w:t>interoperability</w:t>
      </w:r>
      <w:r w:rsidR="00765189">
        <w:rPr>
          <w:lang w:val="en-GB"/>
        </w:rPr>
        <w:t xml:space="preserve"> or other important issues and</w:t>
      </w:r>
      <w:r w:rsidR="00765189" w:rsidRPr="00376A9F">
        <w:rPr>
          <w:lang w:val="en-GB"/>
        </w:rPr>
        <w:t xml:space="preserve"> </w:t>
      </w:r>
      <w:r w:rsidR="00765189">
        <w:rPr>
          <w:lang w:val="en-GB"/>
        </w:rPr>
        <w:t xml:space="preserve">subsequently IoF2020 will provide support and guidelines via </w:t>
      </w:r>
      <w:r w:rsidR="00765189" w:rsidRPr="00376A9F">
        <w:rPr>
          <w:lang w:val="en-GB"/>
        </w:rPr>
        <w:t>FAQ’s</w:t>
      </w:r>
      <w:r w:rsidR="00765189">
        <w:rPr>
          <w:lang w:val="en-GB"/>
        </w:rPr>
        <w:t xml:space="preserve"> on the IoF2020-website.</w:t>
      </w:r>
    </w:p>
    <w:p w14:paraId="4E7FD83D" w14:textId="5D174112" w:rsidR="00066470" w:rsidRPr="004A5BAE" w:rsidRDefault="00066470" w:rsidP="440E69A3">
      <w:pPr>
        <w:rPr>
          <w:i/>
          <w:iCs/>
          <w:lang w:val="en-GB"/>
        </w:rPr>
      </w:pPr>
      <w:bookmarkStart w:id="36" w:name="_Ref511383148"/>
      <w:r w:rsidRPr="440E69A3">
        <w:rPr>
          <w:i/>
          <w:iCs/>
          <w:lang w:val="en-GB"/>
        </w:rPr>
        <w:t xml:space="preserve">Table </w:t>
      </w:r>
      <w:r w:rsidRPr="440E69A3">
        <w:fldChar w:fldCharType="begin"/>
      </w:r>
      <w:r w:rsidRPr="004A5BAE">
        <w:rPr>
          <w:i/>
          <w:lang w:val="en-GB"/>
        </w:rPr>
        <w:instrText xml:space="preserve"> SEQ Table \* ARABIC </w:instrText>
      </w:r>
      <w:r w:rsidRPr="440E69A3">
        <w:rPr>
          <w:i/>
          <w:lang w:val="en-GB"/>
        </w:rPr>
        <w:fldChar w:fldCharType="separate"/>
      </w:r>
      <w:r w:rsidR="00AD0CE7">
        <w:rPr>
          <w:i/>
          <w:noProof/>
          <w:lang w:val="en-GB"/>
        </w:rPr>
        <w:t>2</w:t>
      </w:r>
      <w:r w:rsidRPr="440E69A3">
        <w:fldChar w:fldCharType="end"/>
      </w:r>
      <w:bookmarkEnd w:id="34"/>
      <w:bookmarkEnd w:id="36"/>
      <w:r w:rsidRPr="440E69A3">
        <w:rPr>
          <w:i/>
          <w:iCs/>
          <w:lang w:val="en-GB"/>
        </w:rPr>
        <w:t xml:space="preserve"> Overview of the IoT components of the current Use cases and size of deployment</w:t>
      </w:r>
      <w:r w:rsidR="004A5BAE" w:rsidRPr="440E69A3">
        <w:rPr>
          <w:i/>
          <w:iCs/>
          <w:lang w:val="en-GB"/>
        </w:rPr>
        <w:t xml:space="preserve"> in test beds</w:t>
      </w:r>
    </w:p>
    <w:tbl>
      <w:tblPr>
        <w:tblStyle w:val="LightList-Accent1"/>
        <w:tblW w:w="9204" w:type="dxa"/>
        <w:tblLayout w:type="fixed"/>
        <w:tblLook w:val="00A0" w:firstRow="1" w:lastRow="0" w:firstColumn="1" w:lastColumn="0" w:noHBand="0" w:noVBand="0"/>
      </w:tblPr>
      <w:tblGrid>
        <w:gridCol w:w="534"/>
        <w:gridCol w:w="567"/>
        <w:gridCol w:w="2858"/>
        <w:gridCol w:w="2694"/>
        <w:gridCol w:w="2551"/>
      </w:tblGrid>
      <w:tr w:rsidR="00066470" w:rsidRPr="00C66DAC" w14:paraId="3E8264D3" w14:textId="77777777" w:rsidTr="00C05D9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34" w:type="dxa"/>
          </w:tcPr>
          <w:bookmarkEnd w:id="35"/>
          <w:p w14:paraId="19976BBD" w14:textId="77777777" w:rsidR="00066470" w:rsidRPr="00C66DAC" w:rsidRDefault="00066470" w:rsidP="00066470">
            <w:pPr>
              <w:pStyle w:val="TableTextleft"/>
            </w:pPr>
            <w:r w:rsidRPr="00C66DAC">
              <w:rPr>
                <w:rStyle w:val="Strong"/>
                <w:spacing w:val="-10"/>
              </w:rPr>
              <w:t>Tri-al</w:t>
            </w:r>
          </w:p>
        </w:tc>
        <w:tc>
          <w:tcPr>
            <w:cnfStyle w:val="000010000000" w:firstRow="0" w:lastRow="0" w:firstColumn="0" w:lastColumn="0" w:oddVBand="1" w:evenVBand="0" w:oddHBand="0" w:evenHBand="0" w:firstRowFirstColumn="0" w:firstRowLastColumn="0" w:lastRowFirstColumn="0" w:lastRowLastColumn="0"/>
            <w:tcW w:w="567" w:type="dxa"/>
          </w:tcPr>
          <w:p w14:paraId="610CE163" w14:textId="77777777" w:rsidR="00066470" w:rsidRPr="00C66DAC" w:rsidRDefault="00066470" w:rsidP="00066470">
            <w:pPr>
              <w:pStyle w:val="TableTextleft"/>
            </w:pPr>
            <w:r w:rsidRPr="00C66DAC">
              <w:rPr>
                <w:rStyle w:val="Strong"/>
                <w:spacing w:val="-10"/>
              </w:rPr>
              <w:t>UC</w:t>
            </w:r>
          </w:p>
        </w:tc>
        <w:tc>
          <w:tcPr>
            <w:tcW w:w="2858" w:type="dxa"/>
          </w:tcPr>
          <w:p w14:paraId="462F87DA" w14:textId="77777777" w:rsidR="00066470" w:rsidRPr="00C66DAC" w:rsidRDefault="00066470" w:rsidP="00066470">
            <w:pPr>
              <w:pStyle w:val="TableTextleft"/>
              <w:cnfStyle w:val="100000000000" w:firstRow="1" w:lastRow="0" w:firstColumn="0" w:lastColumn="0" w:oddVBand="0" w:evenVBand="0" w:oddHBand="0" w:evenHBand="0" w:firstRowFirstColumn="0" w:firstRowLastColumn="0" w:lastRowFirstColumn="0" w:lastRowLastColumn="0"/>
            </w:pPr>
            <w:r w:rsidRPr="00C66DAC">
              <w:rPr>
                <w:rStyle w:val="Strong"/>
                <w:spacing w:val="-10"/>
              </w:rPr>
              <w:t>IoT Device Layer</w:t>
            </w:r>
          </w:p>
        </w:tc>
        <w:tc>
          <w:tcPr>
            <w:cnfStyle w:val="000010000000" w:firstRow="0" w:lastRow="0" w:firstColumn="0" w:lastColumn="0" w:oddVBand="1" w:evenVBand="0" w:oddHBand="0" w:evenHBand="0" w:firstRowFirstColumn="0" w:firstRowLastColumn="0" w:lastRowFirstColumn="0" w:lastRowLastColumn="0"/>
            <w:tcW w:w="2694" w:type="dxa"/>
          </w:tcPr>
          <w:p w14:paraId="287B9DD3" w14:textId="77777777" w:rsidR="00066470" w:rsidRPr="00C66DAC" w:rsidRDefault="00066470" w:rsidP="00066470">
            <w:pPr>
              <w:pStyle w:val="TableTextleft"/>
            </w:pPr>
            <w:r w:rsidRPr="00C66DAC">
              <w:rPr>
                <w:rStyle w:val="Strong"/>
                <w:spacing w:val="-10"/>
              </w:rPr>
              <w:t>IoT Integration/ Communication Layer</w:t>
            </w:r>
          </w:p>
        </w:tc>
        <w:tc>
          <w:tcPr>
            <w:tcW w:w="2551" w:type="dxa"/>
          </w:tcPr>
          <w:p w14:paraId="29626326" w14:textId="77777777" w:rsidR="00066470" w:rsidRPr="00C66DAC" w:rsidRDefault="00066470" w:rsidP="440E69A3">
            <w:pPr>
              <w:pStyle w:val="TableTextleft"/>
              <w:cnfStyle w:val="100000000000" w:firstRow="1" w:lastRow="0" w:firstColumn="0" w:lastColumn="0" w:oddVBand="0" w:evenVBand="0" w:oddHBand="0" w:evenHBand="0" w:firstRowFirstColumn="0" w:firstRowLastColumn="0" w:lastRowFirstColumn="0" w:lastRowLastColumn="0"/>
              <w:rPr>
                <w:rStyle w:val="Strong"/>
                <w:b/>
                <w:bCs/>
              </w:rPr>
            </w:pPr>
            <w:r w:rsidRPr="00C66DAC">
              <w:rPr>
                <w:rStyle w:val="Strong"/>
                <w:spacing w:val="-10"/>
              </w:rPr>
              <w:t>IoT Application Layer</w:t>
            </w:r>
          </w:p>
        </w:tc>
      </w:tr>
      <w:tr w:rsidR="00066470" w:rsidRPr="005F3E9F" w14:paraId="522E1CE2" w14:textId="77777777" w:rsidTr="00C05D9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4" w:type="dxa"/>
            <w:vMerge w:val="restart"/>
            <w:textDirection w:val="btLr"/>
          </w:tcPr>
          <w:p w14:paraId="2B62B916" w14:textId="77777777" w:rsidR="00066470" w:rsidRPr="00EB5541" w:rsidRDefault="440E69A3" w:rsidP="440E69A3">
            <w:pPr>
              <w:pStyle w:val="TableTextcentred"/>
              <w:rPr>
                <w:rStyle w:val="Strong"/>
                <w:rFonts w:ascii="Arial Narrow" w:hAnsi="Arial Narrow"/>
              </w:rPr>
            </w:pPr>
            <w:r w:rsidRPr="440E69A3">
              <w:rPr>
                <w:rStyle w:val="Strong"/>
                <w:rFonts w:ascii="Arial Narrow" w:hAnsi="Arial Narrow"/>
              </w:rPr>
              <w:t>T1 Arable</w:t>
            </w:r>
          </w:p>
        </w:tc>
        <w:tc>
          <w:tcPr>
            <w:cnfStyle w:val="000010000000" w:firstRow="0" w:lastRow="0" w:firstColumn="0" w:lastColumn="0" w:oddVBand="1" w:evenVBand="0" w:oddHBand="0" w:evenHBand="0" w:firstRowFirstColumn="0" w:firstRowLastColumn="0" w:lastRowFirstColumn="0" w:lastRowLastColumn="0"/>
            <w:tcW w:w="567" w:type="dxa"/>
          </w:tcPr>
          <w:p w14:paraId="056350F2" w14:textId="77777777" w:rsidR="00066470" w:rsidRPr="00EB5541" w:rsidRDefault="440E69A3" w:rsidP="00066470">
            <w:pPr>
              <w:pStyle w:val="TableTextleft"/>
            </w:pPr>
            <w:r>
              <w:t>1.1</w:t>
            </w:r>
          </w:p>
        </w:tc>
        <w:tc>
          <w:tcPr>
            <w:tcW w:w="2858" w:type="dxa"/>
          </w:tcPr>
          <w:p w14:paraId="4E25001F"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30 sensors for soil moisture, Veris soil scanner, machine control, yield sensors, indoor climate, crop quality, 4 weather stations, 3 GEO-localization units</w:t>
            </w:r>
          </w:p>
        </w:tc>
        <w:tc>
          <w:tcPr>
            <w:cnfStyle w:val="000010000000" w:firstRow="0" w:lastRow="0" w:firstColumn="0" w:lastColumn="0" w:oddVBand="1" w:evenVBand="0" w:oddHBand="0" w:evenHBand="0" w:firstRowFirstColumn="0" w:firstRowLastColumn="0" w:lastRowFirstColumn="0" w:lastRowLastColumn="0"/>
            <w:tcW w:w="2694" w:type="dxa"/>
          </w:tcPr>
          <w:p w14:paraId="7C82858B" w14:textId="77777777" w:rsidR="00066470" w:rsidRPr="00EB5541" w:rsidRDefault="440E69A3" w:rsidP="00066470">
            <w:pPr>
              <w:pStyle w:val="TableTextleft"/>
            </w:pPr>
            <w:r>
              <w:t>Lora Network, 365FarmNet, Zoner, Crop-R and Akkerweb platforms, Cloudfarm FMIS</w:t>
            </w:r>
          </w:p>
        </w:tc>
        <w:tc>
          <w:tcPr>
            <w:tcW w:w="2551" w:type="dxa"/>
          </w:tcPr>
          <w:p w14:paraId="364A0EFF"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Weather forecast service, Akkerweb agro-eco algorithms; GIS, zoning and T&amp;T modules</w:t>
            </w:r>
          </w:p>
        </w:tc>
      </w:tr>
      <w:tr w:rsidR="00066470" w:rsidRPr="005F3E9F" w14:paraId="5C99D68A" w14:textId="77777777" w:rsidTr="00C05D9C">
        <w:trPr>
          <w:trHeight w:val="133"/>
        </w:trPr>
        <w:tc>
          <w:tcPr>
            <w:cnfStyle w:val="001000000000" w:firstRow="0" w:lastRow="0" w:firstColumn="1" w:lastColumn="0" w:oddVBand="0" w:evenVBand="0" w:oddHBand="0" w:evenHBand="0" w:firstRowFirstColumn="0" w:firstRowLastColumn="0" w:lastRowFirstColumn="0" w:lastRowLastColumn="0"/>
            <w:tcW w:w="534" w:type="dxa"/>
            <w:vMerge/>
            <w:textDirection w:val="btLr"/>
          </w:tcPr>
          <w:p w14:paraId="4E16F88C" w14:textId="77777777" w:rsidR="00066470" w:rsidRPr="00EB5541" w:rsidRDefault="00066470" w:rsidP="00066470">
            <w:pPr>
              <w:pStyle w:val="TableTextcentred"/>
              <w:rPr>
                <w:rStyle w:val="Strong"/>
                <w:rFonts w:ascii="Arial Narrow" w:hAnsi="Arial Narrow"/>
                <w:b/>
                <w:bCs/>
              </w:rPr>
            </w:pPr>
          </w:p>
        </w:tc>
        <w:tc>
          <w:tcPr>
            <w:cnfStyle w:val="000010000000" w:firstRow="0" w:lastRow="0" w:firstColumn="0" w:lastColumn="0" w:oddVBand="1" w:evenVBand="0" w:oddHBand="0" w:evenHBand="0" w:firstRowFirstColumn="0" w:firstRowLastColumn="0" w:lastRowFirstColumn="0" w:lastRowLastColumn="0"/>
            <w:tcW w:w="567" w:type="dxa"/>
          </w:tcPr>
          <w:p w14:paraId="6249E2A8" w14:textId="77777777" w:rsidR="00066470" w:rsidRPr="00EB5541" w:rsidRDefault="440E69A3" w:rsidP="00066470">
            <w:pPr>
              <w:pStyle w:val="TableTextleft"/>
            </w:pPr>
            <w:r>
              <w:t>1.2</w:t>
            </w:r>
          </w:p>
        </w:tc>
        <w:tc>
          <w:tcPr>
            <w:tcW w:w="2858" w:type="dxa"/>
          </w:tcPr>
          <w:p w14:paraId="47893207"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120 sensors for water potential, soil temperature, reflectance and leaf area index, 3 weather stations (wind speed, solar radiation, air temperature, air humidity, rain)</w:t>
            </w:r>
          </w:p>
        </w:tc>
        <w:tc>
          <w:tcPr>
            <w:cnfStyle w:val="000010000000" w:firstRow="0" w:lastRow="0" w:firstColumn="0" w:lastColumn="0" w:oddVBand="1" w:evenVBand="0" w:oddHBand="0" w:evenHBand="0" w:firstRowFirstColumn="0" w:firstRowLastColumn="0" w:lastRowFirstColumn="0" w:lastRowLastColumn="0"/>
            <w:tcW w:w="2694" w:type="dxa"/>
          </w:tcPr>
          <w:p w14:paraId="75511F11" w14:textId="77777777" w:rsidR="00066470" w:rsidRPr="00EB5541" w:rsidRDefault="440E69A3" w:rsidP="00066470">
            <w:pPr>
              <w:pStyle w:val="TableTextleft"/>
            </w:pPr>
            <w:r>
              <w:t>30 gateways, Arvalis IoT platform; 365FarmNet; Atland FMIS</w:t>
            </w:r>
          </w:p>
        </w:tc>
        <w:tc>
          <w:tcPr>
            <w:tcW w:w="2551" w:type="dxa"/>
          </w:tcPr>
          <w:p w14:paraId="4421B7ED"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 xml:space="preserve">Weather forecast service, Arvalis agro-eco algorithms </w:t>
            </w:r>
          </w:p>
        </w:tc>
      </w:tr>
      <w:tr w:rsidR="00066470" w:rsidRPr="005F3E9F" w14:paraId="4937129C" w14:textId="77777777" w:rsidTr="00C05D9C">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534" w:type="dxa"/>
            <w:vMerge/>
            <w:textDirection w:val="btLr"/>
          </w:tcPr>
          <w:p w14:paraId="14C84500" w14:textId="77777777" w:rsidR="00066470" w:rsidRPr="00EB5541" w:rsidRDefault="00066470" w:rsidP="00066470">
            <w:pPr>
              <w:pStyle w:val="TableTextcentred"/>
              <w:rPr>
                <w:rStyle w:val="Strong"/>
                <w:rFonts w:ascii="Arial Narrow" w:hAnsi="Arial Narrow"/>
                <w:b/>
                <w:bCs/>
              </w:rPr>
            </w:pPr>
          </w:p>
        </w:tc>
        <w:tc>
          <w:tcPr>
            <w:cnfStyle w:val="000010000000" w:firstRow="0" w:lastRow="0" w:firstColumn="0" w:lastColumn="0" w:oddVBand="1" w:evenVBand="0" w:oddHBand="0" w:evenHBand="0" w:firstRowFirstColumn="0" w:firstRowLastColumn="0" w:lastRowFirstColumn="0" w:lastRowLastColumn="0"/>
            <w:tcW w:w="567" w:type="dxa"/>
          </w:tcPr>
          <w:p w14:paraId="620BD4CF" w14:textId="77777777" w:rsidR="00066470" w:rsidRPr="00EB5541" w:rsidRDefault="440E69A3" w:rsidP="00066470">
            <w:pPr>
              <w:pStyle w:val="TableTextleft"/>
            </w:pPr>
            <w:r>
              <w:t xml:space="preserve">1.3 </w:t>
            </w:r>
          </w:p>
        </w:tc>
        <w:tc>
          <w:tcPr>
            <w:tcW w:w="2858" w:type="dxa"/>
          </w:tcPr>
          <w:p w14:paraId="7AEFF1CC"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20 soil moisture and crop quality sensors; accurate GNSS receivers; cameras for weed detection, 4 weather stations, 2 soil scanners</w:t>
            </w:r>
          </w:p>
        </w:tc>
        <w:tc>
          <w:tcPr>
            <w:cnfStyle w:val="000010000000" w:firstRow="0" w:lastRow="0" w:firstColumn="0" w:lastColumn="0" w:oddVBand="1" w:evenVBand="0" w:oddHBand="0" w:evenHBand="0" w:firstRowFirstColumn="0" w:firstRowLastColumn="0" w:lastRowFirstColumn="0" w:lastRowLastColumn="0"/>
            <w:tcW w:w="2694" w:type="dxa"/>
          </w:tcPr>
          <w:p w14:paraId="621C0ED3" w14:textId="77777777" w:rsidR="00066470" w:rsidRPr="00EB5541" w:rsidRDefault="440E69A3" w:rsidP="00066470">
            <w:pPr>
              <w:pStyle w:val="TableTextleft"/>
            </w:pPr>
            <w:r>
              <w:t>Platform 365FarmNet, FMIS</w:t>
            </w:r>
          </w:p>
        </w:tc>
        <w:tc>
          <w:tcPr>
            <w:tcW w:w="2551" w:type="dxa"/>
          </w:tcPr>
          <w:p w14:paraId="6971AE42"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Weather forecast; Agronomic models of extension services</w:t>
            </w:r>
          </w:p>
        </w:tc>
      </w:tr>
      <w:tr w:rsidR="00066470" w:rsidRPr="005F3E9F" w14:paraId="37A69C26" w14:textId="77777777" w:rsidTr="00C05D9C">
        <w:trPr>
          <w:trHeight w:val="151"/>
        </w:trPr>
        <w:tc>
          <w:tcPr>
            <w:cnfStyle w:val="001000000000" w:firstRow="0" w:lastRow="0" w:firstColumn="1" w:lastColumn="0" w:oddVBand="0" w:evenVBand="0" w:oddHBand="0" w:evenHBand="0" w:firstRowFirstColumn="0" w:firstRowLastColumn="0" w:lastRowFirstColumn="0" w:lastRowLastColumn="0"/>
            <w:tcW w:w="534" w:type="dxa"/>
            <w:vMerge/>
            <w:textDirection w:val="btLr"/>
          </w:tcPr>
          <w:p w14:paraId="60D1D571" w14:textId="77777777" w:rsidR="00066470" w:rsidRPr="00EB5541" w:rsidRDefault="00066470" w:rsidP="00066470">
            <w:pPr>
              <w:pStyle w:val="TableTextcentred"/>
              <w:rPr>
                <w:rStyle w:val="Strong"/>
                <w:rFonts w:ascii="Arial Narrow" w:hAnsi="Arial Narrow"/>
                <w:b/>
                <w:bCs/>
              </w:rPr>
            </w:pPr>
          </w:p>
        </w:tc>
        <w:tc>
          <w:tcPr>
            <w:cnfStyle w:val="000010000000" w:firstRow="0" w:lastRow="0" w:firstColumn="0" w:lastColumn="0" w:oddVBand="1" w:evenVBand="0" w:oddHBand="0" w:evenHBand="0" w:firstRowFirstColumn="0" w:firstRowLastColumn="0" w:lastRowFirstColumn="0" w:lastRowLastColumn="0"/>
            <w:tcW w:w="567" w:type="dxa"/>
          </w:tcPr>
          <w:p w14:paraId="6CF64A08" w14:textId="77777777" w:rsidR="00066470" w:rsidRPr="00EB5541" w:rsidRDefault="440E69A3" w:rsidP="00066470">
            <w:pPr>
              <w:pStyle w:val="TableTextleft"/>
            </w:pPr>
            <w:r>
              <w:t>1.4</w:t>
            </w:r>
          </w:p>
        </w:tc>
        <w:tc>
          <w:tcPr>
            <w:tcW w:w="2858" w:type="dxa"/>
          </w:tcPr>
          <w:p w14:paraId="3F830A05"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Soil and yield sensors on 2 tractors, 2 soil tillage implements and on 1 combine; 10 stations for precipitation, humidity, air and soil temperature, soil moisture and 1 weather station</w:t>
            </w:r>
          </w:p>
        </w:tc>
        <w:tc>
          <w:tcPr>
            <w:cnfStyle w:val="000010000000" w:firstRow="0" w:lastRow="0" w:firstColumn="0" w:lastColumn="0" w:oddVBand="1" w:evenVBand="0" w:oddHBand="0" w:evenHBand="0" w:firstRowFirstColumn="0" w:firstRowLastColumn="0" w:lastRowFirstColumn="0" w:lastRowLastColumn="0"/>
            <w:tcW w:w="2694" w:type="dxa"/>
          </w:tcPr>
          <w:p w14:paraId="21243810" w14:textId="77777777" w:rsidR="00066470" w:rsidRPr="00EB5541" w:rsidRDefault="440E69A3" w:rsidP="00066470">
            <w:pPr>
              <w:pStyle w:val="TableTextleft"/>
            </w:pPr>
            <w:r>
              <w:t>365FarmNet, ThingWorx IoT platforms</w:t>
            </w:r>
          </w:p>
          <w:p w14:paraId="058773EA" w14:textId="77777777" w:rsidR="00066470" w:rsidRPr="00EB5541" w:rsidRDefault="00066470" w:rsidP="00066470">
            <w:pPr>
              <w:pStyle w:val="TableTextleft"/>
            </w:pPr>
          </w:p>
        </w:tc>
        <w:tc>
          <w:tcPr>
            <w:tcW w:w="2551" w:type="dxa"/>
          </w:tcPr>
          <w:p w14:paraId="38769107"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Soil-plant-atmospheric algorithms; Weather forecast; GIS and zoning tool; Traffic optimization modules</w:t>
            </w:r>
          </w:p>
        </w:tc>
      </w:tr>
      <w:tr w:rsidR="00066470" w:rsidRPr="005F3E9F" w14:paraId="033F8A74" w14:textId="77777777" w:rsidTr="00C05D9C">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534" w:type="dxa"/>
            <w:vMerge w:val="restart"/>
            <w:textDirection w:val="btLr"/>
          </w:tcPr>
          <w:p w14:paraId="0DC13925" w14:textId="77777777" w:rsidR="00066470" w:rsidRPr="00685982" w:rsidRDefault="440E69A3" w:rsidP="440E69A3">
            <w:pPr>
              <w:pStyle w:val="TableTextcentred"/>
              <w:rPr>
                <w:rStyle w:val="Strong"/>
                <w:rFonts w:ascii="Arial Narrow" w:hAnsi="Arial Narrow"/>
              </w:rPr>
            </w:pPr>
            <w:r w:rsidRPr="440E69A3">
              <w:rPr>
                <w:rStyle w:val="Strong"/>
                <w:rFonts w:ascii="Arial Narrow" w:hAnsi="Arial Narrow"/>
              </w:rPr>
              <w:t>T2 Dairy</w:t>
            </w:r>
          </w:p>
        </w:tc>
        <w:tc>
          <w:tcPr>
            <w:cnfStyle w:val="000010000000" w:firstRow="0" w:lastRow="0" w:firstColumn="0" w:lastColumn="0" w:oddVBand="1" w:evenVBand="0" w:oddHBand="0" w:evenHBand="0" w:firstRowFirstColumn="0" w:firstRowLastColumn="0" w:lastRowFirstColumn="0" w:lastRowLastColumn="0"/>
            <w:tcW w:w="567" w:type="dxa"/>
          </w:tcPr>
          <w:p w14:paraId="48BA0407" w14:textId="77777777" w:rsidR="00066470" w:rsidRPr="00EB5541" w:rsidRDefault="440E69A3" w:rsidP="00066470">
            <w:pPr>
              <w:pStyle w:val="TableTextleft"/>
            </w:pPr>
            <w:r>
              <w:t>2.1</w:t>
            </w:r>
          </w:p>
        </w:tc>
        <w:tc>
          <w:tcPr>
            <w:tcW w:w="2858" w:type="dxa"/>
          </w:tcPr>
          <w:p w14:paraId="2339543D"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75-100 stickntrack GPS-trackers, BLE tags</w:t>
            </w:r>
          </w:p>
        </w:tc>
        <w:tc>
          <w:tcPr>
            <w:cnfStyle w:val="000010000000" w:firstRow="0" w:lastRow="0" w:firstColumn="0" w:lastColumn="0" w:oddVBand="1" w:evenVBand="0" w:oddHBand="0" w:evenHBand="0" w:firstRowFirstColumn="0" w:firstRowLastColumn="0" w:lastRowFirstColumn="0" w:lastRowLastColumn="0"/>
            <w:tcW w:w="2694" w:type="dxa"/>
          </w:tcPr>
          <w:p w14:paraId="69617DE0" w14:textId="77777777" w:rsidR="00066470" w:rsidRPr="00EB5541" w:rsidRDefault="440E69A3" w:rsidP="00066470">
            <w:pPr>
              <w:pStyle w:val="TableTextleft"/>
            </w:pPr>
            <w:r>
              <w:t>UNB (Sigfox and LoRa)</w:t>
            </w:r>
          </w:p>
          <w:p w14:paraId="5C26F2C9" w14:textId="77777777" w:rsidR="00066470" w:rsidRDefault="440E69A3" w:rsidP="00066470">
            <w:pPr>
              <w:pStyle w:val="TableTextleft"/>
            </w:pPr>
            <w:r>
              <w:t>IoT platform 365FarmNet</w:t>
            </w:r>
          </w:p>
        </w:tc>
        <w:tc>
          <w:tcPr>
            <w:tcW w:w="2551" w:type="dxa"/>
          </w:tcPr>
          <w:p w14:paraId="5D3CDEE3"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Grazing Cow Monitor app + API.</w:t>
            </w:r>
          </w:p>
        </w:tc>
      </w:tr>
      <w:tr w:rsidR="00066470" w:rsidRPr="005F3E9F" w14:paraId="5AE4A3A6" w14:textId="77777777" w:rsidTr="00C05D9C">
        <w:trPr>
          <w:trHeight w:val="151"/>
        </w:trPr>
        <w:tc>
          <w:tcPr>
            <w:cnfStyle w:val="001000000000" w:firstRow="0" w:lastRow="0" w:firstColumn="1" w:lastColumn="0" w:oddVBand="0" w:evenVBand="0" w:oddHBand="0" w:evenHBand="0" w:firstRowFirstColumn="0" w:firstRowLastColumn="0" w:lastRowFirstColumn="0" w:lastRowLastColumn="0"/>
            <w:tcW w:w="534" w:type="dxa"/>
            <w:vMerge/>
            <w:textDirection w:val="btLr"/>
          </w:tcPr>
          <w:p w14:paraId="37AF2B67" w14:textId="77777777" w:rsidR="00066470" w:rsidRPr="00EB5541" w:rsidRDefault="00066470" w:rsidP="00066470">
            <w:pPr>
              <w:pStyle w:val="TableTextcentred"/>
              <w:rPr>
                <w:rStyle w:val="Strong"/>
                <w:rFonts w:ascii="Arial Narrow" w:hAnsi="Arial Narrow"/>
                <w:b/>
                <w:bCs/>
              </w:rPr>
            </w:pPr>
          </w:p>
        </w:tc>
        <w:tc>
          <w:tcPr>
            <w:cnfStyle w:val="000010000000" w:firstRow="0" w:lastRow="0" w:firstColumn="0" w:lastColumn="0" w:oddVBand="1" w:evenVBand="0" w:oddHBand="0" w:evenHBand="0" w:firstRowFirstColumn="0" w:firstRowLastColumn="0" w:lastRowFirstColumn="0" w:lastRowLastColumn="0"/>
            <w:tcW w:w="567" w:type="dxa"/>
          </w:tcPr>
          <w:p w14:paraId="5620EF27" w14:textId="77777777" w:rsidR="00066470" w:rsidRPr="00EB5541" w:rsidRDefault="440E69A3" w:rsidP="00066470">
            <w:pPr>
              <w:pStyle w:val="TableTextleft"/>
            </w:pPr>
            <w:r>
              <w:t xml:space="preserve">2.2 </w:t>
            </w:r>
          </w:p>
        </w:tc>
        <w:tc>
          <w:tcPr>
            <w:tcW w:w="2858" w:type="dxa"/>
          </w:tcPr>
          <w:p w14:paraId="488388C1"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500-700 neck/leg transmitters with accelerometer RF sensors for dairy cow activity in 3D space</w:t>
            </w:r>
          </w:p>
          <w:p w14:paraId="792228EE"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50-60 intelligent routers</w:t>
            </w:r>
          </w:p>
        </w:tc>
        <w:tc>
          <w:tcPr>
            <w:cnfStyle w:val="000010000000" w:firstRow="0" w:lastRow="0" w:firstColumn="0" w:lastColumn="0" w:oddVBand="1" w:evenVBand="0" w:oddHBand="0" w:evenHBand="0" w:firstRowFirstColumn="0" w:firstRowLastColumn="0" w:lastRowFirstColumn="0" w:lastRowLastColumn="0"/>
            <w:tcW w:w="2694" w:type="dxa"/>
          </w:tcPr>
          <w:p w14:paraId="2E8923FB" w14:textId="77777777" w:rsidR="00066470" w:rsidRDefault="440E69A3" w:rsidP="00066470">
            <w:pPr>
              <w:pStyle w:val="TableTextleft"/>
            </w:pPr>
            <w:r>
              <w:t>Base Station Device oData, Connecterra IoT platform, connection to 365FarmNet</w:t>
            </w:r>
          </w:p>
        </w:tc>
        <w:tc>
          <w:tcPr>
            <w:tcW w:w="2551" w:type="dxa"/>
          </w:tcPr>
          <w:p w14:paraId="5E360EDA"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Cloud-based decision support system, analytics cow centric behaviour, prediction algorithm</w:t>
            </w:r>
          </w:p>
        </w:tc>
      </w:tr>
      <w:tr w:rsidR="00066470" w:rsidRPr="005F3E9F" w14:paraId="4C1CCDE3" w14:textId="77777777" w:rsidTr="00C05D9C">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534" w:type="dxa"/>
            <w:vMerge/>
            <w:textDirection w:val="btLr"/>
          </w:tcPr>
          <w:p w14:paraId="10670B12" w14:textId="77777777" w:rsidR="00066470" w:rsidRPr="00EB5541" w:rsidRDefault="00066470" w:rsidP="00066470">
            <w:pPr>
              <w:pStyle w:val="TableTextcentred"/>
              <w:rPr>
                <w:rStyle w:val="Strong"/>
                <w:rFonts w:ascii="Arial Narrow" w:hAnsi="Arial Narrow"/>
                <w:b/>
                <w:bCs/>
              </w:rPr>
            </w:pPr>
          </w:p>
        </w:tc>
        <w:tc>
          <w:tcPr>
            <w:cnfStyle w:val="000010000000" w:firstRow="0" w:lastRow="0" w:firstColumn="0" w:lastColumn="0" w:oddVBand="1" w:evenVBand="0" w:oddHBand="0" w:evenHBand="0" w:firstRowFirstColumn="0" w:firstRowLastColumn="0" w:lastRowFirstColumn="0" w:lastRowLastColumn="0"/>
            <w:tcW w:w="567" w:type="dxa"/>
          </w:tcPr>
          <w:p w14:paraId="5C207D5D" w14:textId="77777777" w:rsidR="00066470" w:rsidRPr="00EB5541" w:rsidRDefault="440E69A3" w:rsidP="00066470">
            <w:pPr>
              <w:pStyle w:val="TableTextleft"/>
            </w:pPr>
            <w:r>
              <w:t xml:space="preserve">2.3 </w:t>
            </w:r>
          </w:p>
        </w:tc>
        <w:tc>
          <w:tcPr>
            <w:tcW w:w="2858" w:type="dxa"/>
          </w:tcPr>
          <w:p w14:paraId="65765218"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150-200 Afimilk Silent Herdsman devices</w:t>
            </w:r>
          </w:p>
        </w:tc>
        <w:tc>
          <w:tcPr>
            <w:cnfStyle w:val="000010000000" w:firstRow="0" w:lastRow="0" w:firstColumn="0" w:lastColumn="0" w:oddVBand="1" w:evenVBand="0" w:oddHBand="0" w:evenHBand="0" w:firstRowFirstColumn="0" w:firstRowLastColumn="0" w:lastRowFirstColumn="0" w:lastRowLastColumn="0"/>
            <w:tcW w:w="2694" w:type="dxa"/>
          </w:tcPr>
          <w:p w14:paraId="07383F7C" w14:textId="77777777" w:rsidR="00066470" w:rsidRDefault="440E69A3" w:rsidP="00066470">
            <w:pPr>
              <w:pStyle w:val="TableTextleft"/>
            </w:pPr>
            <w:r>
              <w:t>Hypercat, connection to 365Farmnet</w:t>
            </w:r>
          </w:p>
        </w:tc>
        <w:tc>
          <w:tcPr>
            <w:tcW w:w="2551" w:type="dxa"/>
          </w:tcPr>
          <w:p w14:paraId="13E82695"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Collar-based analytics, early illness detection</w:t>
            </w:r>
          </w:p>
        </w:tc>
      </w:tr>
      <w:tr w:rsidR="00066470" w:rsidRPr="005F3E9F" w14:paraId="005F847A" w14:textId="77777777" w:rsidTr="00C05D9C">
        <w:trPr>
          <w:trHeight w:val="151"/>
        </w:trPr>
        <w:tc>
          <w:tcPr>
            <w:cnfStyle w:val="001000000000" w:firstRow="0" w:lastRow="0" w:firstColumn="1" w:lastColumn="0" w:oddVBand="0" w:evenVBand="0" w:oddHBand="0" w:evenHBand="0" w:firstRowFirstColumn="0" w:firstRowLastColumn="0" w:lastRowFirstColumn="0" w:lastRowLastColumn="0"/>
            <w:tcW w:w="534" w:type="dxa"/>
            <w:vMerge/>
            <w:textDirection w:val="btLr"/>
          </w:tcPr>
          <w:p w14:paraId="08135A4E" w14:textId="77777777" w:rsidR="00066470" w:rsidRPr="00EB5541" w:rsidRDefault="00066470" w:rsidP="00066470">
            <w:pPr>
              <w:pStyle w:val="TableTextcentred"/>
              <w:rPr>
                <w:rStyle w:val="Strong"/>
                <w:rFonts w:ascii="Arial Narrow" w:hAnsi="Arial Narrow"/>
                <w:b/>
                <w:bCs/>
              </w:rPr>
            </w:pPr>
          </w:p>
        </w:tc>
        <w:tc>
          <w:tcPr>
            <w:cnfStyle w:val="000010000000" w:firstRow="0" w:lastRow="0" w:firstColumn="0" w:lastColumn="0" w:oddVBand="1" w:evenVBand="0" w:oddHBand="0" w:evenHBand="0" w:firstRowFirstColumn="0" w:firstRowLastColumn="0" w:lastRowFirstColumn="0" w:lastRowLastColumn="0"/>
            <w:tcW w:w="567" w:type="dxa"/>
          </w:tcPr>
          <w:p w14:paraId="697C17D5" w14:textId="77777777" w:rsidR="00066470" w:rsidRPr="00EB5541" w:rsidRDefault="440E69A3" w:rsidP="00066470">
            <w:pPr>
              <w:pStyle w:val="TableTextleft"/>
            </w:pPr>
            <w:r>
              <w:t>2.4</w:t>
            </w:r>
          </w:p>
        </w:tc>
        <w:tc>
          <w:tcPr>
            <w:tcW w:w="2858" w:type="dxa"/>
          </w:tcPr>
          <w:p w14:paraId="58AB3ABE"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20-30 InfraRed sensors (FTIR) to measure milk quality composition</w:t>
            </w:r>
          </w:p>
        </w:tc>
        <w:tc>
          <w:tcPr>
            <w:cnfStyle w:val="000010000000" w:firstRow="0" w:lastRow="0" w:firstColumn="0" w:lastColumn="0" w:oddVBand="1" w:evenVBand="0" w:oddHBand="0" w:evenHBand="0" w:firstRowFirstColumn="0" w:firstRowLastColumn="0" w:lastRowFirstColumn="0" w:lastRowLastColumn="0"/>
            <w:tcW w:w="2694" w:type="dxa"/>
          </w:tcPr>
          <w:p w14:paraId="3BF9683C" w14:textId="77777777" w:rsidR="00066470" w:rsidRDefault="440E69A3" w:rsidP="00066470">
            <w:pPr>
              <w:pStyle w:val="TableTextleft"/>
            </w:pPr>
            <w:r>
              <w:t>Qlip platform for automatic calibration and validation, connection to 365Farmnet</w:t>
            </w:r>
          </w:p>
        </w:tc>
        <w:tc>
          <w:tcPr>
            <w:tcW w:w="2551" w:type="dxa"/>
          </w:tcPr>
          <w:p w14:paraId="6A209E23"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QA data visualization, remote alerts, interventions harmonization, milk composition/quality analytics</w:t>
            </w:r>
          </w:p>
        </w:tc>
      </w:tr>
      <w:tr w:rsidR="00066470" w:rsidRPr="005F3E9F" w14:paraId="5DD818C2" w14:textId="77777777" w:rsidTr="00C05D9C">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534" w:type="dxa"/>
            <w:vMerge w:val="restart"/>
            <w:textDirection w:val="btLr"/>
          </w:tcPr>
          <w:p w14:paraId="6B69F50A" w14:textId="77777777" w:rsidR="00066470" w:rsidRPr="00EB5541" w:rsidRDefault="440E69A3" w:rsidP="440E69A3">
            <w:pPr>
              <w:pStyle w:val="TableTextcentred"/>
              <w:rPr>
                <w:rStyle w:val="Strong"/>
                <w:rFonts w:ascii="Arial Narrow" w:hAnsi="Arial Narrow"/>
                <w:b/>
                <w:bCs/>
              </w:rPr>
            </w:pPr>
            <w:r w:rsidRPr="440E69A3">
              <w:rPr>
                <w:rStyle w:val="Strong"/>
                <w:rFonts w:ascii="Arial Narrow" w:hAnsi="Arial Narrow"/>
              </w:rPr>
              <w:t>T3 Fruit</w:t>
            </w:r>
          </w:p>
        </w:tc>
        <w:tc>
          <w:tcPr>
            <w:cnfStyle w:val="000010000000" w:firstRow="0" w:lastRow="0" w:firstColumn="0" w:lastColumn="0" w:oddVBand="1" w:evenVBand="0" w:oddHBand="0" w:evenHBand="0" w:firstRowFirstColumn="0" w:firstRowLastColumn="0" w:lastRowFirstColumn="0" w:lastRowLastColumn="0"/>
            <w:tcW w:w="567" w:type="dxa"/>
          </w:tcPr>
          <w:p w14:paraId="5AEA6DBB" w14:textId="77777777" w:rsidR="00066470" w:rsidRPr="00EB5541" w:rsidRDefault="440E69A3" w:rsidP="00066470">
            <w:pPr>
              <w:pStyle w:val="TableTextleft"/>
            </w:pPr>
            <w:r>
              <w:t>3.1</w:t>
            </w:r>
          </w:p>
        </w:tc>
        <w:tc>
          <w:tcPr>
            <w:tcW w:w="2858" w:type="dxa"/>
          </w:tcPr>
          <w:p w14:paraId="6E8072C7"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 xml:space="preserve">30 sensors/ measurement devices for crop evapotransp. (ETc); soil water content (VWC); Stem Water Potential; Berry Growth Rate; Sap-flow meter, Dendrometer, Stem psychometer sensors. 30 irrigation systems controlling 90 solenoid valves and hydrometers. 100 BLOW gas sensors </w:t>
            </w:r>
          </w:p>
        </w:tc>
        <w:tc>
          <w:tcPr>
            <w:cnfStyle w:val="000010000000" w:firstRow="0" w:lastRow="0" w:firstColumn="0" w:lastColumn="0" w:oddVBand="1" w:evenVBand="0" w:oddHBand="0" w:evenHBand="0" w:firstRowFirstColumn="0" w:firstRowLastColumn="0" w:lastRowFirstColumn="0" w:lastRowLastColumn="0"/>
            <w:tcW w:w="2694" w:type="dxa"/>
          </w:tcPr>
          <w:p w14:paraId="50C01FF2" w14:textId="77777777" w:rsidR="00066470" w:rsidRPr="00EB5541" w:rsidRDefault="440E69A3" w:rsidP="00066470">
            <w:pPr>
              <w:pStyle w:val="TableTextleft"/>
            </w:pPr>
            <w:r>
              <w:t>GPRS/4G and long RF communication; cloud IoT data management based on state of the art platform (e.g. Cassandra) and processing using state of the art technologies such as Apache Flink &amp; Spark.</w:t>
            </w:r>
          </w:p>
        </w:tc>
        <w:tc>
          <w:tcPr>
            <w:tcW w:w="2551" w:type="dxa"/>
          </w:tcPr>
          <w:p w14:paraId="7596773B"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Crop and post-harvest monitoring (irrigation, pest and quality alarms);</w:t>
            </w:r>
          </w:p>
          <w:p w14:paraId="2868F6FD"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Irrigation DSS, Prediction software for crop management and the harvest period, Shelf-life prediction tool</w:t>
            </w:r>
          </w:p>
        </w:tc>
      </w:tr>
      <w:tr w:rsidR="00066470" w:rsidRPr="005F3E9F" w14:paraId="48604176" w14:textId="77777777" w:rsidTr="00C05D9C">
        <w:trPr>
          <w:trHeight w:val="187"/>
        </w:trPr>
        <w:tc>
          <w:tcPr>
            <w:cnfStyle w:val="001000000000" w:firstRow="0" w:lastRow="0" w:firstColumn="1" w:lastColumn="0" w:oddVBand="0" w:evenVBand="0" w:oddHBand="0" w:evenHBand="0" w:firstRowFirstColumn="0" w:firstRowLastColumn="0" w:lastRowFirstColumn="0" w:lastRowLastColumn="0"/>
            <w:tcW w:w="534" w:type="dxa"/>
            <w:vMerge/>
            <w:textDirection w:val="btLr"/>
          </w:tcPr>
          <w:p w14:paraId="463AA3F1" w14:textId="77777777" w:rsidR="00066470" w:rsidRPr="00EB5541" w:rsidRDefault="00066470" w:rsidP="00066470">
            <w:pPr>
              <w:pStyle w:val="TableTextcentred"/>
              <w:rPr>
                <w:rStyle w:val="Strong"/>
                <w:rFonts w:ascii="Arial Narrow" w:hAnsi="Arial Narrow"/>
                <w:b/>
                <w:bCs/>
              </w:rPr>
            </w:pPr>
          </w:p>
        </w:tc>
        <w:tc>
          <w:tcPr>
            <w:cnfStyle w:val="000010000000" w:firstRow="0" w:lastRow="0" w:firstColumn="0" w:lastColumn="0" w:oddVBand="1" w:evenVBand="0" w:oddHBand="0" w:evenHBand="0" w:firstRowFirstColumn="0" w:firstRowLastColumn="0" w:lastRowFirstColumn="0" w:lastRowLastColumn="0"/>
            <w:tcW w:w="567" w:type="dxa"/>
          </w:tcPr>
          <w:p w14:paraId="52B029BE" w14:textId="77777777" w:rsidR="00066470" w:rsidRPr="00EB5541" w:rsidRDefault="440E69A3" w:rsidP="00066470">
            <w:pPr>
              <w:pStyle w:val="TableTextleft"/>
            </w:pPr>
            <w:r>
              <w:t>3.2</w:t>
            </w:r>
          </w:p>
        </w:tc>
        <w:tc>
          <w:tcPr>
            <w:tcW w:w="2858" w:type="dxa"/>
          </w:tcPr>
          <w:p w14:paraId="4B3E4C05"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150 Multi-Sensor/ actuator smart nodes, 10 Video Sensors, 300 sensors for detecting IR and VIS absorbance and temperature (cellar)</w:t>
            </w:r>
          </w:p>
        </w:tc>
        <w:tc>
          <w:tcPr>
            <w:cnfStyle w:val="000010000000" w:firstRow="0" w:lastRow="0" w:firstColumn="0" w:lastColumn="0" w:oddVBand="1" w:evenVBand="0" w:oddHBand="0" w:evenHBand="0" w:firstRowFirstColumn="0" w:firstRowLastColumn="0" w:lastRowFirstColumn="0" w:lastRowLastColumn="0"/>
            <w:tcW w:w="2694" w:type="dxa"/>
          </w:tcPr>
          <w:p w14:paraId="2FF7282B" w14:textId="77777777" w:rsidR="00066470" w:rsidRPr="00EB5541" w:rsidRDefault="440E69A3" w:rsidP="00066470">
            <w:pPr>
              <w:pStyle w:val="TableTextleft"/>
            </w:pPr>
            <w:r>
              <w:t>5 Gateways, SensiNact IoT platform; wine cloud system (cellar).</w:t>
            </w:r>
          </w:p>
        </w:tc>
        <w:tc>
          <w:tcPr>
            <w:tcW w:w="2551" w:type="dxa"/>
          </w:tcPr>
          <w:p w14:paraId="37CCD6FC"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Management software for Wine Production from process to wine.</w:t>
            </w:r>
          </w:p>
        </w:tc>
      </w:tr>
      <w:tr w:rsidR="00066470" w:rsidRPr="005F3E9F" w14:paraId="0BDFAF7A" w14:textId="77777777" w:rsidTr="00C05D9C">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534" w:type="dxa"/>
            <w:vMerge/>
            <w:textDirection w:val="btLr"/>
          </w:tcPr>
          <w:p w14:paraId="2FBC2362" w14:textId="77777777" w:rsidR="00066470" w:rsidRPr="00EB5541" w:rsidRDefault="00066470" w:rsidP="00066470">
            <w:pPr>
              <w:pStyle w:val="TableTextcentred"/>
              <w:rPr>
                <w:rStyle w:val="Strong"/>
                <w:rFonts w:ascii="Arial Narrow" w:hAnsi="Arial Narrow"/>
                <w:b/>
                <w:bCs/>
              </w:rPr>
            </w:pPr>
          </w:p>
        </w:tc>
        <w:tc>
          <w:tcPr>
            <w:cnfStyle w:val="000010000000" w:firstRow="0" w:lastRow="0" w:firstColumn="0" w:lastColumn="0" w:oddVBand="1" w:evenVBand="0" w:oddHBand="0" w:evenHBand="0" w:firstRowFirstColumn="0" w:firstRowLastColumn="0" w:lastRowFirstColumn="0" w:lastRowLastColumn="0"/>
            <w:tcW w:w="567" w:type="dxa"/>
          </w:tcPr>
          <w:p w14:paraId="5FA6466F" w14:textId="77777777" w:rsidR="00066470" w:rsidRPr="00EB5541" w:rsidRDefault="440E69A3" w:rsidP="00066470">
            <w:pPr>
              <w:pStyle w:val="TableTextleft"/>
            </w:pPr>
            <w:r>
              <w:t>3.3</w:t>
            </w:r>
          </w:p>
        </w:tc>
        <w:tc>
          <w:tcPr>
            <w:tcW w:w="2858" w:type="dxa"/>
          </w:tcPr>
          <w:p w14:paraId="08E8F661"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12 soil/air sensors for water, temp. nitrates, conductivity, humidity, radiation; 12 data logging units, 12 autonomous solar energy units, 12 fertigation actuators, 6 ISOBUS on-board sensors; 3 temperature/pressure sensors and 3 electronic noses (oil mill), Product barcodes/QR, RFID</w:t>
            </w:r>
          </w:p>
        </w:tc>
        <w:tc>
          <w:tcPr>
            <w:cnfStyle w:val="000010000000" w:firstRow="0" w:lastRow="0" w:firstColumn="0" w:lastColumn="0" w:oddVBand="1" w:evenVBand="0" w:oddHBand="0" w:evenHBand="0" w:firstRowFirstColumn="0" w:firstRowLastColumn="0" w:lastRowFirstColumn="0" w:lastRowLastColumn="0"/>
            <w:tcW w:w="2694" w:type="dxa"/>
          </w:tcPr>
          <w:p w14:paraId="6C40A9D9" w14:textId="77777777" w:rsidR="00066470" w:rsidRPr="00EB5541" w:rsidRDefault="440E69A3" w:rsidP="00066470">
            <w:pPr>
              <w:pStyle w:val="TableTextleft"/>
            </w:pPr>
            <w:r>
              <w:t xml:space="preserve">12 wireless sensors networks (HSPDA, UMTS, GPRS, GSM), 12 gateways, 1 global SIM data comm., 1 integration service bus </w:t>
            </w:r>
          </w:p>
        </w:tc>
        <w:tc>
          <w:tcPr>
            <w:tcW w:w="2551" w:type="dxa"/>
          </w:tcPr>
          <w:p w14:paraId="07C0D608"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Application Modules (3 implementations): Field Operations and Machinery Control; Field decision support (alerts, models); Olive mill Control; Traceability; Warehouse Logistics</w:t>
            </w:r>
          </w:p>
        </w:tc>
      </w:tr>
      <w:tr w:rsidR="00066470" w:rsidRPr="002C656F" w14:paraId="3122CCAD" w14:textId="77777777" w:rsidTr="00C05D9C">
        <w:trPr>
          <w:trHeight w:val="187"/>
        </w:trPr>
        <w:tc>
          <w:tcPr>
            <w:cnfStyle w:val="001000000000" w:firstRow="0" w:lastRow="0" w:firstColumn="1" w:lastColumn="0" w:oddVBand="0" w:evenVBand="0" w:oddHBand="0" w:evenHBand="0" w:firstRowFirstColumn="0" w:firstRowLastColumn="0" w:lastRowFirstColumn="0" w:lastRowLastColumn="0"/>
            <w:tcW w:w="534" w:type="dxa"/>
            <w:vMerge/>
            <w:textDirection w:val="btLr"/>
          </w:tcPr>
          <w:p w14:paraId="1F5B8223" w14:textId="77777777" w:rsidR="00066470" w:rsidRPr="00EB5541" w:rsidRDefault="00066470" w:rsidP="00066470">
            <w:pPr>
              <w:pStyle w:val="TableTextcentred"/>
              <w:rPr>
                <w:rStyle w:val="Strong"/>
                <w:rFonts w:ascii="Arial Narrow" w:hAnsi="Arial Narrow"/>
                <w:b/>
                <w:bCs/>
              </w:rPr>
            </w:pPr>
          </w:p>
        </w:tc>
        <w:tc>
          <w:tcPr>
            <w:cnfStyle w:val="000010000000" w:firstRow="0" w:lastRow="0" w:firstColumn="0" w:lastColumn="0" w:oddVBand="1" w:evenVBand="0" w:oddHBand="0" w:evenHBand="0" w:firstRowFirstColumn="0" w:firstRowLastColumn="0" w:lastRowFirstColumn="0" w:lastRowLastColumn="0"/>
            <w:tcW w:w="567" w:type="dxa"/>
          </w:tcPr>
          <w:p w14:paraId="149C2FA4" w14:textId="77777777" w:rsidR="00066470" w:rsidRPr="00EB5541" w:rsidRDefault="440E69A3" w:rsidP="00066470">
            <w:pPr>
              <w:pStyle w:val="TableTextleft"/>
            </w:pPr>
            <w:r>
              <w:t>3.4</w:t>
            </w:r>
          </w:p>
        </w:tc>
        <w:tc>
          <w:tcPr>
            <w:tcW w:w="2858" w:type="dxa"/>
          </w:tcPr>
          <w:p w14:paraId="46DC5F86"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1000 passive RFID transponders with environmental sensors (temperature, relative humidity, illumination and methane) in trays, handheld and fixed RFID readers</w:t>
            </w:r>
          </w:p>
        </w:tc>
        <w:tc>
          <w:tcPr>
            <w:cnfStyle w:val="000010000000" w:firstRow="0" w:lastRow="0" w:firstColumn="0" w:lastColumn="0" w:oddVBand="1" w:evenVBand="0" w:oddHBand="0" w:evenHBand="0" w:firstRowFirstColumn="0" w:firstRowLastColumn="0" w:lastRowFirstColumn="0" w:lastRowLastColumn="0"/>
            <w:tcW w:w="2694" w:type="dxa"/>
          </w:tcPr>
          <w:p w14:paraId="0F497352" w14:textId="77777777" w:rsidR="00066470" w:rsidRPr="00EB5541" w:rsidRDefault="440E69A3" w:rsidP="00066470">
            <w:pPr>
              <w:pStyle w:val="TableTextleft"/>
            </w:pPr>
            <w:r>
              <w:t>EPCIS and V-Track AutoID middleware system, LORA and package sensor platforms for data access</w:t>
            </w:r>
          </w:p>
        </w:tc>
        <w:tc>
          <w:tcPr>
            <w:tcW w:w="2551" w:type="dxa"/>
          </w:tcPr>
          <w:p w14:paraId="0FD9C9E3"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V-Track application layer, Jesper business rule engine (open source and Cassandra big data database (open source). Reader-based applic.</w:t>
            </w:r>
          </w:p>
        </w:tc>
      </w:tr>
      <w:tr w:rsidR="00066470" w:rsidRPr="002C656F" w14:paraId="32AC6A30" w14:textId="77777777" w:rsidTr="00C05D9C">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534" w:type="dxa"/>
            <w:vMerge w:val="restart"/>
            <w:textDirection w:val="btLr"/>
          </w:tcPr>
          <w:p w14:paraId="1F12E011" w14:textId="77777777" w:rsidR="00066470" w:rsidRPr="00EB5541" w:rsidRDefault="440E69A3" w:rsidP="440E69A3">
            <w:pPr>
              <w:pStyle w:val="TableTextcentred"/>
              <w:rPr>
                <w:rStyle w:val="Strong"/>
                <w:rFonts w:ascii="Arial Narrow" w:hAnsi="Arial Narrow"/>
                <w:b/>
                <w:bCs/>
              </w:rPr>
            </w:pPr>
            <w:r w:rsidRPr="440E69A3">
              <w:rPr>
                <w:rStyle w:val="Strong"/>
                <w:rFonts w:ascii="Arial Narrow" w:hAnsi="Arial Narrow"/>
              </w:rPr>
              <w:t>T4 Vegetables</w:t>
            </w:r>
          </w:p>
        </w:tc>
        <w:tc>
          <w:tcPr>
            <w:cnfStyle w:val="000010000000" w:firstRow="0" w:lastRow="0" w:firstColumn="0" w:lastColumn="0" w:oddVBand="1" w:evenVBand="0" w:oddHBand="0" w:evenHBand="0" w:firstRowFirstColumn="0" w:firstRowLastColumn="0" w:lastRowFirstColumn="0" w:lastRowLastColumn="0"/>
            <w:tcW w:w="567" w:type="dxa"/>
          </w:tcPr>
          <w:p w14:paraId="322AB023" w14:textId="77777777" w:rsidR="00066470" w:rsidRPr="00EB5541" w:rsidRDefault="440E69A3" w:rsidP="00066470">
            <w:pPr>
              <w:pStyle w:val="TableTextleft"/>
            </w:pPr>
            <w:r>
              <w:t>4.1</w:t>
            </w:r>
          </w:p>
        </w:tc>
        <w:tc>
          <w:tcPr>
            <w:tcW w:w="2858" w:type="dxa"/>
          </w:tcPr>
          <w:p w14:paraId="2AB3FEE4"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Advanced crop sensors (100x each) for temperature, humidity, CO2, pH, nutrition, air flow, plant observers, electrical conductivity, 15000 LED lighting devices</w:t>
            </w:r>
          </w:p>
        </w:tc>
        <w:tc>
          <w:tcPr>
            <w:cnfStyle w:val="000010000000" w:firstRow="0" w:lastRow="0" w:firstColumn="0" w:lastColumn="0" w:oddVBand="1" w:evenVBand="0" w:oddHBand="0" w:evenHBand="0" w:firstRowFirstColumn="0" w:firstRowLastColumn="0" w:lastRowFirstColumn="0" w:lastRowLastColumn="0"/>
            <w:tcW w:w="2694" w:type="dxa"/>
          </w:tcPr>
          <w:p w14:paraId="564631F1" w14:textId="77777777" w:rsidR="00066470" w:rsidRPr="00EB5541" w:rsidRDefault="440E69A3" w:rsidP="00066470">
            <w:pPr>
              <w:pStyle w:val="TableTextleft"/>
            </w:pPr>
            <w:r>
              <w:t>30 wired and/or ZIgbee connections from sensors to city farming system</w:t>
            </w:r>
          </w:p>
        </w:tc>
        <w:tc>
          <w:tcPr>
            <w:tcW w:w="2551" w:type="dxa"/>
          </w:tcPr>
          <w:p w14:paraId="5DF6BE78"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1 production control, 1</w:t>
            </w:r>
          </w:p>
          <w:p w14:paraId="5DF5EC37"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“Green Cloud”</w:t>
            </w:r>
          </w:p>
          <w:p w14:paraId="3E73E607"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climate control</w:t>
            </w:r>
          </w:p>
          <w:p w14:paraId="7F4C7188"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(incl. irrigation) system</w:t>
            </w:r>
          </w:p>
        </w:tc>
      </w:tr>
      <w:tr w:rsidR="00066470" w:rsidRPr="005F3E9F" w14:paraId="04A31578" w14:textId="77777777" w:rsidTr="00C05D9C">
        <w:trPr>
          <w:trHeight w:val="95"/>
        </w:trPr>
        <w:tc>
          <w:tcPr>
            <w:cnfStyle w:val="001000000000" w:firstRow="0" w:lastRow="0" w:firstColumn="1" w:lastColumn="0" w:oddVBand="0" w:evenVBand="0" w:oddHBand="0" w:evenHBand="0" w:firstRowFirstColumn="0" w:firstRowLastColumn="0" w:lastRowFirstColumn="0" w:lastRowLastColumn="0"/>
            <w:tcW w:w="534" w:type="dxa"/>
            <w:vMerge/>
            <w:textDirection w:val="btLr"/>
          </w:tcPr>
          <w:p w14:paraId="1B728FFA" w14:textId="77777777" w:rsidR="00066470" w:rsidRPr="00050BD4" w:rsidRDefault="00066470" w:rsidP="00066470">
            <w:pPr>
              <w:pStyle w:val="TableTextcentred"/>
              <w:rPr>
                <w:rStyle w:val="Strong"/>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567" w:type="dxa"/>
          </w:tcPr>
          <w:p w14:paraId="150A29D0" w14:textId="77777777" w:rsidR="00066470" w:rsidRPr="007B6A43" w:rsidRDefault="440E69A3" w:rsidP="00066470">
            <w:pPr>
              <w:pStyle w:val="TableTextleft"/>
            </w:pPr>
            <w:r>
              <w:t>4.2</w:t>
            </w:r>
          </w:p>
        </w:tc>
        <w:tc>
          <w:tcPr>
            <w:tcW w:w="2858" w:type="dxa"/>
          </w:tcPr>
          <w:p w14:paraId="41F2C8AF" w14:textId="77777777" w:rsidR="00066470" w:rsidRPr="007B6A43"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35 sensors for temp. &amp; moisture, humidity, CO2, water supply, soil water; leaf wetness, and nutrients; 13 actuators for pulverization, dehumification, artificial light actuator, irrigation, CO2 enrichment actuator and biomass heating; 4 IP cameras and 4 weight devices</w:t>
            </w:r>
          </w:p>
        </w:tc>
        <w:tc>
          <w:tcPr>
            <w:cnfStyle w:val="000010000000" w:firstRow="0" w:lastRow="0" w:firstColumn="0" w:lastColumn="0" w:oddVBand="1" w:evenVBand="0" w:oddHBand="0" w:evenHBand="0" w:firstRowFirstColumn="0" w:firstRowLastColumn="0" w:lastRowFirstColumn="0" w:lastRowLastColumn="0"/>
            <w:tcW w:w="2694" w:type="dxa"/>
          </w:tcPr>
          <w:p w14:paraId="1A09BD4A" w14:textId="77777777" w:rsidR="00066470" w:rsidRPr="007B6A43" w:rsidRDefault="440E69A3" w:rsidP="00066470">
            <w:pPr>
              <w:pStyle w:val="TableTextleft"/>
            </w:pPr>
            <w:r>
              <w:t>1 webbased IoT platform, 3 WIFI networks, 3 Gateway NI CompactFieldpoints</w:t>
            </w:r>
          </w:p>
        </w:tc>
        <w:tc>
          <w:tcPr>
            <w:tcW w:w="2551" w:type="dxa"/>
          </w:tcPr>
          <w:p w14:paraId="02AF7FF3" w14:textId="77777777" w:rsidR="00066470" w:rsidRPr="008144A9"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Web Application for DSS:</w:t>
            </w:r>
          </w:p>
          <w:p w14:paraId="21CC4C5E" w14:textId="77777777" w:rsidR="00066470" w:rsidRPr="008144A9"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DSS production managing; DSS Deceases early-warning syst.</w:t>
            </w:r>
          </w:p>
          <w:p w14:paraId="359A89BE" w14:textId="77777777" w:rsidR="00066470" w:rsidRPr="007B6A43"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DSS pest control; DSS for handling &amp; transport managing</w:t>
            </w:r>
          </w:p>
        </w:tc>
      </w:tr>
      <w:tr w:rsidR="00066470" w:rsidRPr="005F3E9F" w14:paraId="07D98F5E" w14:textId="77777777" w:rsidTr="00C05D9C">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534" w:type="dxa"/>
            <w:vMerge/>
            <w:textDirection w:val="btLr"/>
          </w:tcPr>
          <w:p w14:paraId="7F7B4F18" w14:textId="77777777" w:rsidR="00066470" w:rsidRPr="00EB5541" w:rsidRDefault="00066470" w:rsidP="00066470">
            <w:pPr>
              <w:pStyle w:val="TableTextcentred"/>
              <w:rPr>
                <w:rStyle w:val="Strong"/>
                <w:rFonts w:ascii="Arial Narrow" w:hAnsi="Arial Narrow"/>
                <w:b/>
                <w:bCs/>
                <w:highlight w:val="yellow"/>
              </w:rPr>
            </w:pPr>
          </w:p>
        </w:tc>
        <w:tc>
          <w:tcPr>
            <w:cnfStyle w:val="000010000000" w:firstRow="0" w:lastRow="0" w:firstColumn="0" w:lastColumn="0" w:oddVBand="1" w:evenVBand="0" w:oddHBand="0" w:evenHBand="0" w:firstRowFirstColumn="0" w:firstRowLastColumn="0" w:lastRowFirstColumn="0" w:lastRowLastColumn="0"/>
            <w:tcW w:w="567" w:type="dxa"/>
          </w:tcPr>
          <w:p w14:paraId="389635E5" w14:textId="77777777" w:rsidR="00066470" w:rsidRPr="00EB5541" w:rsidRDefault="440E69A3" w:rsidP="00066470">
            <w:pPr>
              <w:pStyle w:val="TableTextleft"/>
            </w:pPr>
            <w:r>
              <w:t>4.3</w:t>
            </w:r>
          </w:p>
        </w:tc>
        <w:tc>
          <w:tcPr>
            <w:tcW w:w="2858" w:type="dxa"/>
          </w:tcPr>
          <w:p w14:paraId="759E5480" w14:textId="77777777" w:rsidR="00066470" w:rsidRPr="00531859"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6 RGB Cameras, GPS, timestamp</w:t>
            </w:r>
          </w:p>
          <w:p w14:paraId="561CA92F"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 xml:space="preserve">Handheld (Smartphone), 1-2 GUI (Touchscreen in tractor), 12 Weed actuators </w:t>
            </w:r>
          </w:p>
        </w:tc>
        <w:tc>
          <w:tcPr>
            <w:cnfStyle w:val="000010000000" w:firstRow="0" w:lastRow="0" w:firstColumn="0" w:lastColumn="0" w:oddVBand="1" w:evenVBand="0" w:oddHBand="0" w:evenHBand="0" w:firstRowFirstColumn="0" w:firstRowLastColumn="0" w:lastRowFirstColumn="0" w:lastRowLastColumn="0"/>
            <w:tcW w:w="2694" w:type="dxa"/>
          </w:tcPr>
          <w:p w14:paraId="2493657D" w14:textId="77777777" w:rsidR="00066470" w:rsidRPr="00EB5541" w:rsidRDefault="440E69A3" w:rsidP="00066470">
            <w:pPr>
              <w:pStyle w:val="TableTextleft"/>
            </w:pPr>
            <w:r>
              <w:t>1-2 local data storage &amp; image pre-processing syst., 3-4 gateways, 2 WIFI networks, cloud IoT platform</w:t>
            </w:r>
          </w:p>
        </w:tc>
        <w:tc>
          <w:tcPr>
            <w:tcW w:w="2551" w:type="dxa"/>
          </w:tcPr>
          <w:p w14:paraId="45A93816"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Web application and smartphone app, 3 DSSs for Growth, Weed, Soil Monitoring</w:t>
            </w:r>
          </w:p>
        </w:tc>
      </w:tr>
      <w:tr w:rsidR="00066470" w:rsidRPr="005F3E9F" w14:paraId="42EE0630" w14:textId="77777777" w:rsidTr="00C05D9C">
        <w:trPr>
          <w:trHeight w:val="237"/>
        </w:trPr>
        <w:tc>
          <w:tcPr>
            <w:cnfStyle w:val="001000000000" w:firstRow="0" w:lastRow="0" w:firstColumn="1" w:lastColumn="0" w:oddVBand="0" w:evenVBand="0" w:oddHBand="0" w:evenHBand="0" w:firstRowFirstColumn="0" w:firstRowLastColumn="0" w:lastRowFirstColumn="0" w:lastRowLastColumn="0"/>
            <w:tcW w:w="534" w:type="dxa"/>
            <w:vMerge/>
            <w:textDirection w:val="btLr"/>
          </w:tcPr>
          <w:p w14:paraId="405DC7CA" w14:textId="77777777" w:rsidR="00066470" w:rsidRPr="00EB5541" w:rsidRDefault="00066470" w:rsidP="00066470">
            <w:pPr>
              <w:pStyle w:val="TableTextcentred"/>
              <w:rPr>
                <w:rStyle w:val="Strong"/>
                <w:rFonts w:ascii="Arial Narrow" w:hAnsi="Arial Narrow"/>
                <w:b/>
                <w:bCs/>
                <w:highlight w:val="yellow"/>
              </w:rPr>
            </w:pPr>
          </w:p>
        </w:tc>
        <w:tc>
          <w:tcPr>
            <w:cnfStyle w:val="000010000000" w:firstRow="0" w:lastRow="0" w:firstColumn="0" w:lastColumn="0" w:oddVBand="1" w:evenVBand="0" w:oddHBand="0" w:evenHBand="0" w:firstRowFirstColumn="0" w:firstRowLastColumn="0" w:lastRowFirstColumn="0" w:lastRowLastColumn="0"/>
            <w:tcW w:w="567" w:type="dxa"/>
          </w:tcPr>
          <w:p w14:paraId="68C66486" w14:textId="77777777" w:rsidR="00066470" w:rsidRPr="00EB5541" w:rsidRDefault="440E69A3" w:rsidP="00066470">
            <w:pPr>
              <w:pStyle w:val="TableTextleft"/>
            </w:pPr>
            <w:r>
              <w:t>4.4</w:t>
            </w:r>
          </w:p>
        </w:tc>
        <w:tc>
          <w:tcPr>
            <w:tcW w:w="2858" w:type="dxa"/>
          </w:tcPr>
          <w:p w14:paraId="1E0B6836"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 xml:space="preserve"> 35 sensors of volume, moisture and chemicals (in the field-min. 15); 100 digital traceability tags (100), QRs </w:t>
            </w:r>
          </w:p>
        </w:tc>
        <w:tc>
          <w:tcPr>
            <w:cnfStyle w:val="000010000000" w:firstRow="0" w:lastRow="0" w:firstColumn="0" w:lastColumn="0" w:oddVBand="1" w:evenVBand="0" w:oddHBand="0" w:evenHBand="0" w:firstRowFirstColumn="0" w:firstRowLastColumn="0" w:lastRowFirstColumn="0" w:lastRowLastColumn="0"/>
            <w:tcW w:w="2694" w:type="dxa"/>
          </w:tcPr>
          <w:p w14:paraId="36A998F0" w14:textId="77777777" w:rsidR="00066470" w:rsidRPr="00EB5541" w:rsidRDefault="440E69A3" w:rsidP="00066470">
            <w:pPr>
              <w:pStyle w:val="TableTextleft"/>
            </w:pPr>
            <w:r>
              <w:t xml:space="preserve">Web certification data platform </w:t>
            </w:r>
          </w:p>
        </w:tc>
        <w:tc>
          <w:tcPr>
            <w:tcW w:w="2551" w:type="dxa"/>
          </w:tcPr>
          <w:p w14:paraId="235D074E"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3 apps for data upload, query &amp; aggregation app, traceability app for buyers/consumers</w:t>
            </w:r>
          </w:p>
        </w:tc>
      </w:tr>
      <w:tr w:rsidR="00066470" w:rsidRPr="005F3E9F" w14:paraId="732F0E74" w14:textId="77777777" w:rsidTr="00C05D9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34" w:type="dxa"/>
            <w:vMerge w:val="restart"/>
            <w:textDirection w:val="btLr"/>
          </w:tcPr>
          <w:p w14:paraId="40704AE3" w14:textId="77777777" w:rsidR="00066470" w:rsidRPr="00EB5541" w:rsidRDefault="440E69A3" w:rsidP="440E69A3">
            <w:pPr>
              <w:pStyle w:val="TableTextcentred"/>
              <w:rPr>
                <w:rStyle w:val="Strong"/>
                <w:rFonts w:ascii="Arial Narrow" w:hAnsi="Arial Narrow"/>
                <w:b/>
                <w:bCs/>
              </w:rPr>
            </w:pPr>
            <w:r w:rsidRPr="440E69A3">
              <w:rPr>
                <w:rStyle w:val="Strong"/>
                <w:rFonts w:ascii="Arial Narrow" w:hAnsi="Arial Narrow"/>
              </w:rPr>
              <w:t>T5 Meat</w:t>
            </w:r>
          </w:p>
        </w:tc>
        <w:tc>
          <w:tcPr>
            <w:cnfStyle w:val="000010000000" w:firstRow="0" w:lastRow="0" w:firstColumn="0" w:lastColumn="0" w:oddVBand="1" w:evenVBand="0" w:oddHBand="0" w:evenHBand="0" w:firstRowFirstColumn="0" w:firstRowLastColumn="0" w:lastRowFirstColumn="0" w:lastRowLastColumn="0"/>
            <w:tcW w:w="567" w:type="dxa"/>
          </w:tcPr>
          <w:p w14:paraId="2EF5AC13" w14:textId="77777777" w:rsidR="00066470" w:rsidRPr="00EB5541" w:rsidRDefault="440E69A3" w:rsidP="00066470">
            <w:pPr>
              <w:pStyle w:val="TableTextleft"/>
            </w:pPr>
            <w:r>
              <w:t>5.1</w:t>
            </w:r>
          </w:p>
        </w:tc>
        <w:tc>
          <w:tcPr>
            <w:tcW w:w="2858" w:type="dxa"/>
          </w:tcPr>
          <w:p w14:paraId="21D724EE"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50 sensors for water &amp; feed consumption, daily growth,</w:t>
            </w:r>
          </w:p>
          <w:p w14:paraId="55B071A3"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 xml:space="preserve">cough monitoring and stable climate control; PigWise sensor; 8 RFID Readers (FEIG/DTE), 500 RFID Tags (HID Global); slaughterhouse recordings of 2000 pigs </w:t>
            </w:r>
          </w:p>
        </w:tc>
        <w:tc>
          <w:tcPr>
            <w:cnfStyle w:val="000010000000" w:firstRow="0" w:lastRow="0" w:firstColumn="0" w:lastColumn="0" w:oddVBand="1" w:evenVBand="0" w:oddHBand="0" w:evenHBand="0" w:firstRowFirstColumn="0" w:firstRowLastColumn="0" w:lastRowFirstColumn="0" w:lastRowLastColumn="0"/>
            <w:tcW w:w="2694" w:type="dxa"/>
          </w:tcPr>
          <w:p w14:paraId="6D045660" w14:textId="77777777" w:rsidR="00066470" w:rsidRPr="00EB5541" w:rsidRDefault="440E69A3" w:rsidP="00066470">
            <w:pPr>
              <w:pStyle w:val="TableTextleft"/>
            </w:pPr>
            <w:r>
              <w:t>1 IoT Data platform</w:t>
            </w:r>
          </w:p>
          <w:p w14:paraId="5A728ABF" w14:textId="77777777" w:rsidR="00066470" w:rsidRPr="00EB5541" w:rsidRDefault="440E69A3" w:rsidP="00066470">
            <w:pPr>
              <w:pStyle w:val="TableTextleft"/>
            </w:pPr>
            <w:r>
              <w:t>1 Virtus Middleware + LinkSmart Middleware components</w:t>
            </w:r>
          </w:p>
          <w:p w14:paraId="7741B48C" w14:textId="77777777" w:rsidR="00066470" w:rsidRPr="00EB5541" w:rsidRDefault="440E69A3" w:rsidP="00066470">
            <w:pPr>
              <w:pStyle w:val="TableTextleft"/>
            </w:pPr>
            <w:r>
              <w:t>1 ebbits Adaptation Layer</w:t>
            </w:r>
          </w:p>
        </w:tc>
        <w:tc>
          <w:tcPr>
            <w:tcW w:w="2551" w:type="dxa"/>
          </w:tcPr>
          <w:p w14:paraId="2EB86608"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Early Warning System Application; Boar Taint presence report linking with preventive measures; Data Analytics &amp; Visualization</w:t>
            </w:r>
          </w:p>
        </w:tc>
      </w:tr>
      <w:tr w:rsidR="00066470" w:rsidRPr="005F3E9F" w14:paraId="01A5BA83" w14:textId="77777777" w:rsidTr="00C05D9C">
        <w:trPr>
          <w:trHeight w:val="181"/>
        </w:trPr>
        <w:tc>
          <w:tcPr>
            <w:cnfStyle w:val="001000000000" w:firstRow="0" w:lastRow="0" w:firstColumn="1" w:lastColumn="0" w:oddVBand="0" w:evenVBand="0" w:oddHBand="0" w:evenHBand="0" w:firstRowFirstColumn="0" w:firstRowLastColumn="0" w:lastRowFirstColumn="0" w:lastRowLastColumn="0"/>
            <w:tcW w:w="534" w:type="dxa"/>
            <w:vMerge/>
          </w:tcPr>
          <w:p w14:paraId="6F4A7844" w14:textId="77777777" w:rsidR="00066470" w:rsidRPr="00EB5541" w:rsidRDefault="00066470" w:rsidP="00066470">
            <w:pPr>
              <w:pStyle w:val="TableTextleft"/>
              <w:rPr>
                <w:rStyle w:val="Strong"/>
                <w:rFonts w:ascii="Arial Narrow" w:hAnsi="Arial Narrow"/>
                <w:b/>
                <w:bCs/>
              </w:rPr>
            </w:pPr>
          </w:p>
        </w:tc>
        <w:tc>
          <w:tcPr>
            <w:cnfStyle w:val="000010000000" w:firstRow="0" w:lastRow="0" w:firstColumn="0" w:lastColumn="0" w:oddVBand="1" w:evenVBand="0" w:oddHBand="0" w:evenHBand="0" w:firstRowFirstColumn="0" w:firstRowLastColumn="0" w:lastRowFirstColumn="0" w:lastRowLastColumn="0"/>
            <w:tcW w:w="567" w:type="dxa"/>
          </w:tcPr>
          <w:p w14:paraId="16F4B9EC" w14:textId="77777777" w:rsidR="00066470" w:rsidRPr="00EB5541" w:rsidRDefault="440E69A3" w:rsidP="00066470">
            <w:pPr>
              <w:pStyle w:val="TableTextleft"/>
            </w:pPr>
            <w:r>
              <w:t>5.2</w:t>
            </w:r>
          </w:p>
        </w:tc>
        <w:tc>
          <w:tcPr>
            <w:tcW w:w="2858" w:type="dxa"/>
          </w:tcPr>
          <w:p w14:paraId="458D57E5"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110 sensors for temperature, humidity, luminosity, CO2, noise and ammonia (farms, trucks); 8 scales with integrated sensors &amp; camera); 12 silo weight cells, 10 Sony SmartBands</w:t>
            </w:r>
          </w:p>
        </w:tc>
        <w:tc>
          <w:tcPr>
            <w:cnfStyle w:val="000010000000" w:firstRow="0" w:lastRow="0" w:firstColumn="0" w:lastColumn="0" w:oddVBand="1" w:evenVBand="0" w:oddHBand="0" w:evenHBand="0" w:firstRowFirstColumn="0" w:firstRowLastColumn="0" w:lastRowFirstColumn="0" w:lastRowLastColumn="0"/>
            <w:tcW w:w="2694" w:type="dxa"/>
          </w:tcPr>
          <w:p w14:paraId="5A71B8C4" w14:textId="77777777" w:rsidR="00066470" w:rsidRPr="00EB5541" w:rsidRDefault="440E69A3" w:rsidP="00066470">
            <w:pPr>
              <w:pStyle w:val="TableTextleft"/>
            </w:pPr>
            <w:r>
              <w:t>GPRS/WIFI WSNs: 4 farms (TIBUCON) and 10 trucks WSNs, Bluetooth 4.0 SmartBands, Google Fit LiveLog, 1 IoT Data Platform &amp; Middleware</w:t>
            </w:r>
          </w:p>
        </w:tc>
        <w:tc>
          <w:tcPr>
            <w:tcW w:w="2551" w:type="dxa"/>
          </w:tcPr>
          <w:p w14:paraId="57CA2978" w14:textId="77777777" w:rsidR="00066470" w:rsidRPr="00EB5541" w:rsidRDefault="440E69A3" w:rsidP="00066470">
            <w:pPr>
              <w:pStyle w:val="TableTextleft"/>
              <w:cnfStyle w:val="000000000000" w:firstRow="0" w:lastRow="0" w:firstColumn="0" w:lastColumn="0" w:oddVBand="0" w:evenVBand="0" w:oddHBand="0" w:evenHBand="0" w:firstRowFirstColumn="0" w:firstRowLastColumn="0" w:lastRowFirstColumn="0" w:lastRowLastColumn="0"/>
            </w:pPr>
            <w:r>
              <w:t>Early Warning System, Birds Manipulation Assistant, Environmental Assistant, Production Management DSS, Data Visualization</w:t>
            </w:r>
          </w:p>
        </w:tc>
      </w:tr>
      <w:tr w:rsidR="00066470" w:rsidRPr="002C656F" w14:paraId="2303E8FC" w14:textId="77777777" w:rsidTr="00C05D9C">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534" w:type="dxa"/>
            <w:vMerge/>
          </w:tcPr>
          <w:p w14:paraId="4DF0E5DE" w14:textId="77777777" w:rsidR="00066470" w:rsidRPr="00EB5541" w:rsidRDefault="00066470" w:rsidP="00066470">
            <w:pPr>
              <w:pStyle w:val="TableTextleft"/>
              <w:rPr>
                <w:rStyle w:val="Strong"/>
                <w:rFonts w:ascii="Arial Narrow" w:hAnsi="Arial Narrow"/>
                <w:b/>
                <w:bCs/>
              </w:rPr>
            </w:pPr>
          </w:p>
        </w:tc>
        <w:tc>
          <w:tcPr>
            <w:cnfStyle w:val="000010000000" w:firstRow="0" w:lastRow="0" w:firstColumn="0" w:lastColumn="0" w:oddVBand="1" w:evenVBand="0" w:oddHBand="0" w:evenHBand="0" w:firstRowFirstColumn="0" w:firstRowLastColumn="0" w:lastRowFirstColumn="0" w:lastRowLastColumn="0"/>
            <w:tcW w:w="567" w:type="dxa"/>
          </w:tcPr>
          <w:p w14:paraId="2DAF4AEB" w14:textId="77777777" w:rsidR="00066470" w:rsidRPr="00EB5541" w:rsidRDefault="440E69A3" w:rsidP="00066470">
            <w:pPr>
              <w:pStyle w:val="TableTextleft"/>
            </w:pPr>
            <w:r>
              <w:t xml:space="preserve">5.3 </w:t>
            </w:r>
          </w:p>
        </w:tc>
        <w:tc>
          <w:tcPr>
            <w:tcW w:w="2858" w:type="dxa"/>
          </w:tcPr>
          <w:p w14:paraId="38D9F370"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30 barcode/QR readers; 5-10 RFID gates at slaughterhouse and meat processor, about 100 temperature sensors and 5-10 cooling actuators at transport; temperature sensors and shop shelve actuators at test shop</w:t>
            </w:r>
          </w:p>
        </w:tc>
        <w:tc>
          <w:tcPr>
            <w:cnfStyle w:val="000010000000" w:firstRow="0" w:lastRow="0" w:firstColumn="0" w:lastColumn="0" w:oddVBand="1" w:evenVBand="0" w:oddHBand="0" w:evenHBand="0" w:firstRowFirstColumn="0" w:firstRowLastColumn="0" w:lastRowFirstColumn="0" w:lastRowLastColumn="0"/>
            <w:tcW w:w="2694" w:type="dxa"/>
          </w:tcPr>
          <w:p w14:paraId="1C5CCFE7" w14:textId="77777777" w:rsidR="00066470" w:rsidRPr="00EB5541" w:rsidRDefault="440E69A3" w:rsidP="00066470">
            <w:pPr>
              <w:pStyle w:val="TableTextleft"/>
            </w:pPr>
            <w:r>
              <w:t>2 EPCIS repositories – IoT Data platform</w:t>
            </w:r>
          </w:p>
          <w:p w14:paraId="2FA09DF2" w14:textId="77777777" w:rsidR="00066470" w:rsidRPr="00EB5541" w:rsidRDefault="440E69A3" w:rsidP="00066470">
            <w:pPr>
              <w:pStyle w:val="TableTextleft"/>
            </w:pPr>
            <w:r>
              <w:t>1 Discovery server</w:t>
            </w:r>
          </w:p>
          <w:p w14:paraId="3FD81C43" w14:textId="77777777" w:rsidR="00066470" w:rsidRPr="00EB5541" w:rsidRDefault="00066470" w:rsidP="00066470">
            <w:pPr>
              <w:pStyle w:val="TableTextleft"/>
            </w:pPr>
          </w:p>
        </w:tc>
        <w:tc>
          <w:tcPr>
            <w:tcW w:w="2551" w:type="dxa"/>
          </w:tcPr>
          <w:p w14:paraId="60C11DE4" w14:textId="77777777" w:rsidR="00066470" w:rsidRPr="00EB5541" w:rsidRDefault="440E69A3" w:rsidP="00066470">
            <w:pPr>
              <w:pStyle w:val="TableTextleft"/>
              <w:cnfStyle w:val="000000100000" w:firstRow="0" w:lastRow="0" w:firstColumn="0" w:lastColumn="0" w:oddVBand="0" w:evenVBand="0" w:oddHBand="1" w:evenHBand="0" w:firstRowFirstColumn="0" w:firstRowLastColumn="0" w:lastRowFirstColumn="0" w:lastRowLastColumn="0"/>
            </w:pPr>
            <w:r>
              <w:t>2 Connectors, 1 Discovery App, 1 Aggregation App</w:t>
            </w:r>
          </w:p>
          <w:p w14:paraId="6BA48EB7" w14:textId="77777777" w:rsidR="00066470" w:rsidRPr="00EB5541" w:rsidRDefault="00066470" w:rsidP="00066470">
            <w:pPr>
              <w:pStyle w:val="TableTextleft"/>
              <w:cnfStyle w:val="000000100000" w:firstRow="0" w:lastRow="0" w:firstColumn="0" w:lastColumn="0" w:oddVBand="0" w:evenVBand="0" w:oddHBand="1" w:evenHBand="0" w:firstRowFirstColumn="0" w:firstRowLastColumn="0" w:lastRowFirstColumn="0" w:lastRowLastColumn="0"/>
            </w:pPr>
          </w:p>
        </w:tc>
      </w:tr>
    </w:tbl>
    <w:p w14:paraId="680DD19A" w14:textId="77777777" w:rsidR="00066470" w:rsidRDefault="00066470" w:rsidP="00066470">
      <w:pPr>
        <w:rPr>
          <w:lang w:val="en-GB"/>
        </w:rPr>
      </w:pPr>
    </w:p>
    <w:p w14:paraId="752EFAC7" w14:textId="77777777" w:rsidR="00B61C6E" w:rsidRDefault="00B61C6E">
      <w:pPr>
        <w:spacing w:before="0" w:after="0"/>
        <w:rPr>
          <w:rFonts w:eastAsiaTheme="majorEastAsia"/>
          <w:b/>
          <w:kern w:val="28"/>
          <w:sz w:val="32"/>
          <w:szCs w:val="36"/>
          <w:lang w:val="en-GB"/>
        </w:rPr>
      </w:pPr>
      <w:r>
        <w:rPr>
          <w:lang w:val="en-GB"/>
        </w:rPr>
        <w:br w:type="page"/>
      </w:r>
    </w:p>
    <w:p w14:paraId="26578B79" w14:textId="77777777" w:rsidR="00B61C6E" w:rsidRDefault="440E69A3" w:rsidP="001E542C">
      <w:pPr>
        <w:pStyle w:val="Heading1"/>
        <w:rPr>
          <w:lang w:val="en-GB"/>
        </w:rPr>
      </w:pPr>
      <w:bookmarkStart w:id="37" w:name="_Toc515638348"/>
      <w:r w:rsidRPr="001E542C">
        <w:lastRenderedPageBreak/>
        <w:t>Annex</w:t>
      </w:r>
      <w:r w:rsidRPr="440E69A3">
        <w:rPr>
          <w:lang w:val="en-GB"/>
        </w:rPr>
        <w:t xml:space="preserve"> II </w:t>
      </w:r>
      <w:r w:rsidR="001E542C">
        <w:rPr>
          <w:lang w:val="en-GB"/>
        </w:rPr>
        <w:t xml:space="preserve">– </w:t>
      </w:r>
      <w:r w:rsidRPr="440E69A3">
        <w:rPr>
          <w:lang w:val="en-GB"/>
        </w:rPr>
        <w:t>Selection Criteria</w:t>
      </w:r>
      <w:bookmarkEnd w:id="37"/>
    </w:p>
    <w:p w14:paraId="078E5915" w14:textId="77777777" w:rsidR="0076724C" w:rsidRPr="00192264" w:rsidRDefault="0076724C" w:rsidP="440E69A3">
      <w:pPr>
        <w:rPr>
          <w:lang w:val="en-US"/>
        </w:rPr>
      </w:pPr>
    </w:p>
    <w:tbl>
      <w:tblPr>
        <w:tblStyle w:val="TableGrid"/>
        <w:tblW w:w="0" w:type="auto"/>
        <w:tblLook w:val="04A0" w:firstRow="1" w:lastRow="0" w:firstColumn="1" w:lastColumn="0" w:noHBand="0" w:noVBand="1"/>
      </w:tblPr>
      <w:tblGrid>
        <w:gridCol w:w="6017"/>
        <w:gridCol w:w="1472"/>
        <w:gridCol w:w="1459"/>
      </w:tblGrid>
      <w:tr w:rsidR="0076724C" w14:paraId="57D6EF11" w14:textId="77777777" w:rsidTr="00514A63">
        <w:tc>
          <w:tcPr>
            <w:tcW w:w="6017" w:type="dxa"/>
            <w:vAlign w:val="center"/>
          </w:tcPr>
          <w:p w14:paraId="7AFC2FF9" w14:textId="77777777" w:rsidR="0076724C" w:rsidRPr="00F84F2E" w:rsidRDefault="440E69A3" w:rsidP="440E69A3">
            <w:pPr>
              <w:spacing w:before="0" w:after="0"/>
              <w:ind w:left="568" w:hanging="284"/>
              <w:rPr>
                <w:b/>
                <w:bCs/>
                <w:lang w:val="en-GB"/>
              </w:rPr>
            </w:pPr>
            <w:r w:rsidRPr="440E69A3">
              <w:rPr>
                <w:b/>
                <w:bCs/>
                <w:lang w:val="en-GB"/>
              </w:rPr>
              <w:t>Criterion</w:t>
            </w:r>
          </w:p>
        </w:tc>
        <w:tc>
          <w:tcPr>
            <w:tcW w:w="1472" w:type="dxa"/>
          </w:tcPr>
          <w:p w14:paraId="37C97040" w14:textId="77777777" w:rsidR="0076724C" w:rsidRDefault="440E69A3" w:rsidP="440E69A3">
            <w:pPr>
              <w:rPr>
                <w:lang w:val="en-GB"/>
              </w:rPr>
            </w:pPr>
            <w:r w:rsidRPr="440E69A3">
              <w:rPr>
                <w:lang w:val="en-GB"/>
              </w:rPr>
              <w:t>Weighting</w:t>
            </w:r>
          </w:p>
        </w:tc>
        <w:tc>
          <w:tcPr>
            <w:tcW w:w="1459" w:type="dxa"/>
          </w:tcPr>
          <w:p w14:paraId="45E4066A" w14:textId="77777777" w:rsidR="0076724C" w:rsidRDefault="440E69A3" w:rsidP="440E69A3">
            <w:pPr>
              <w:rPr>
                <w:lang w:val="en-GB"/>
              </w:rPr>
            </w:pPr>
            <w:r w:rsidRPr="440E69A3">
              <w:rPr>
                <w:lang w:val="en-GB"/>
              </w:rPr>
              <w:t>Rating</w:t>
            </w:r>
          </w:p>
        </w:tc>
      </w:tr>
      <w:tr w:rsidR="0076724C" w:rsidRPr="002E2562" w14:paraId="4048709B" w14:textId="77777777" w:rsidTr="009B253D">
        <w:tc>
          <w:tcPr>
            <w:tcW w:w="6017" w:type="dxa"/>
            <w:shd w:val="clear" w:color="auto" w:fill="DCDCDC" w:themeFill="background1" w:themeFillShade="E6"/>
            <w:vAlign w:val="center"/>
          </w:tcPr>
          <w:p w14:paraId="6B9E41DB" w14:textId="77777777" w:rsidR="0076724C" w:rsidRPr="00F84F2E" w:rsidRDefault="009B253D" w:rsidP="009B253D">
            <w:pPr>
              <w:pStyle w:val="ListParagraph"/>
              <w:numPr>
                <w:ilvl w:val="0"/>
                <w:numId w:val="32"/>
              </w:numPr>
              <w:spacing w:before="0" w:after="0"/>
              <w:ind w:left="714" w:hanging="357"/>
              <w:jc w:val="left"/>
              <w:rPr>
                <w:b/>
                <w:bCs/>
                <w:lang w:val="en-GB"/>
              </w:rPr>
            </w:pPr>
            <w:r>
              <w:rPr>
                <w:b/>
                <w:lang w:val="en-GB"/>
              </w:rPr>
              <w:t>Suitability of the overall proposal</w:t>
            </w:r>
          </w:p>
        </w:tc>
        <w:tc>
          <w:tcPr>
            <w:tcW w:w="1472" w:type="dxa"/>
            <w:shd w:val="clear" w:color="auto" w:fill="DCDCDC" w:themeFill="background1" w:themeFillShade="E6"/>
          </w:tcPr>
          <w:p w14:paraId="315150DE" w14:textId="77777777" w:rsidR="0076724C" w:rsidRDefault="00300958" w:rsidP="00E034FC">
            <w:pPr>
              <w:jc w:val="right"/>
              <w:rPr>
                <w:lang w:val="en-GB"/>
              </w:rPr>
            </w:pPr>
            <w:r>
              <w:rPr>
                <w:lang w:val="en-GB"/>
              </w:rPr>
              <w:t>(27%)</w:t>
            </w:r>
          </w:p>
        </w:tc>
        <w:tc>
          <w:tcPr>
            <w:tcW w:w="1459" w:type="dxa"/>
            <w:shd w:val="clear" w:color="auto" w:fill="DCDCDC" w:themeFill="background1" w:themeFillShade="E6"/>
          </w:tcPr>
          <w:p w14:paraId="1798141E" w14:textId="77777777" w:rsidR="0076724C" w:rsidRDefault="00300958" w:rsidP="00E034FC">
            <w:pPr>
              <w:jc w:val="right"/>
              <w:rPr>
                <w:lang w:val="en-GB"/>
              </w:rPr>
            </w:pPr>
            <w:r>
              <w:rPr>
                <w:lang w:val="en-GB"/>
              </w:rPr>
              <w:t>(max. 40)</w:t>
            </w:r>
          </w:p>
        </w:tc>
      </w:tr>
      <w:tr w:rsidR="0076724C" w14:paraId="25DDEC16" w14:textId="77777777" w:rsidTr="00514A63">
        <w:tc>
          <w:tcPr>
            <w:tcW w:w="6017" w:type="dxa"/>
          </w:tcPr>
          <w:p w14:paraId="3614BC82" w14:textId="77777777" w:rsidR="0076724C" w:rsidRPr="00967611" w:rsidRDefault="440E69A3" w:rsidP="440E69A3">
            <w:pPr>
              <w:pStyle w:val="ListParagraph"/>
              <w:numPr>
                <w:ilvl w:val="1"/>
                <w:numId w:val="32"/>
              </w:numPr>
              <w:rPr>
                <w:lang w:val="en-GB"/>
              </w:rPr>
            </w:pPr>
            <w:r w:rsidRPr="440E69A3">
              <w:rPr>
                <w:lang w:val="en-GB"/>
              </w:rPr>
              <w:t>Topic Coverage</w:t>
            </w:r>
          </w:p>
          <w:p w14:paraId="549084AB" w14:textId="77777777" w:rsidR="0076724C" w:rsidRPr="00967611" w:rsidRDefault="440E69A3" w:rsidP="00316A75">
            <w:pPr>
              <w:ind w:left="360"/>
              <w:rPr>
                <w:lang w:val="en-GB"/>
              </w:rPr>
            </w:pPr>
            <w:r w:rsidRPr="440E69A3">
              <w:rPr>
                <w:lang w:val="en-GB"/>
              </w:rPr>
              <w:t>This criterion assesses in how far the proposed solution covers the defined challenge of the open call</w:t>
            </w:r>
          </w:p>
        </w:tc>
        <w:tc>
          <w:tcPr>
            <w:tcW w:w="1472" w:type="dxa"/>
          </w:tcPr>
          <w:p w14:paraId="473E6BDD" w14:textId="77777777" w:rsidR="0076724C" w:rsidRDefault="002D2C56" w:rsidP="440E69A3">
            <w:pPr>
              <w:jc w:val="right"/>
              <w:rPr>
                <w:lang w:val="en-GB"/>
              </w:rPr>
            </w:pPr>
            <w:r>
              <w:rPr>
                <w:lang w:val="en-GB"/>
              </w:rPr>
              <w:t>1</w:t>
            </w:r>
          </w:p>
        </w:tc>
        <w:tc>
          <w:tcPr>
            <w:tcW w:w="1459" w:type="dxa"/>
          </w:tcPr>
          <w:p w14:paraId="40BCCBA9" w14:textId="77777777" w:rsidR="0076724C" w:rsidRDefault="440E69A3" w:rsidP="440E69A3">
            <w:pPr>
              <w:jc w:val="right"/>
              <w:rPr>
                <w:lang w:val="en-GB"/>
              </w:rPr>
            </w:pPr>
            <w:r w:rsidRPr="440E69A3">
              <w:rPr>
                <w:lang w:val="en-GB"/>
              </w:rPr>
              <w:t>0-10 points</w:t>
            </w:r>
          </w:p>
        </w:tc>
      </w:tr>
      <w:tr w:rsidR="00681764" w14:paraId="214CF28F" w14:textId="77777777" w:rsidTr="00514A63">
        <w:tc>
          <w:tcPr>
            <w:tcW w:w="6017" w:type="dxa"/>
          </w:tcPr>
          <w:p w14:paraId="4DB6CBBA" w14:textId="77777777" w:rsidR="00681764" w:rsidRDefault="00681764" w:rsidP="00681764">
            <w:pPr>
              <w:pStyle w:val="ListParagraph"/>
              <w:numPr>
                <w:ilvl w:val="1"/>
                <w:numId w:val="32"/>
              </w:numPr>
              <w:rPr>
                <w:lang w:val="en-GB"/>
              </w:rPr>
            </w:pPr>
            <w:r w:rsidRPr="440E69A3">
              <w:rPr>
                <w:lang w:val="en-GB"/>
              </w:rPr>
              <w:t>Consortium composition &amp; ability</w:t>
            </w:r>
          </w:p>
          <w:p w14:paraId="78B28033" w14:textId="77777777" w:rsidR="00681764" w:rsidRPr="00E7682C" w:rsidRDefault="00681764" w:rsidP="00681764">
            <w:pPr>
              <w:ind w:left="360"/>
              <w:rPr>
                <w:lang w:val="en-GB"/>
              </w:rPr>
            </w:pPr>
            <w:r w:rsidRPr="440E69A3">
              <w:rPr>
                <w:lang w:val="en-GB"/>
              </w:rPr>
              <w:t xml:space="preserve">This criterion rates in how far the consortium represents all necessary skills and experiences to develop and </w:t>
            </w:r>
            <w:r>
              <w:rPr>
                <w:lang w:val="en-GB"/>
              </w:rPr>
              <w:t>commercialise</w:t>
            </w:r>
            <w:r w:rsidRPr="440E69A3">
              <w:rPr>
                <w:lang w:val="en-GB"/>
              </w:rPr>
              <w:t xml:space="preserve"> the proposed product or service.</w:t>
            </w:r>
          </w:p>
        </w:tc>
        <w:tc>
          <w:tcPr>
            <w:tcW w:w="1472" w:type="dxa"/>
          </w:tcPr>
          <w:p w14:paraId="72ED185D" w14:textId="77777777" w:rsidR="00681764" w:rsidRDefault="002D2C56" w:rsidP="00681764">
            <w:pPr>
              <w:jc w:val="right"/>
              <w:rPr>
                <w:lang w:val="en-GB"/>
              </w:rPr>
            </w:pPr>
            <w:r>
              <w:rPr>
                <w:lang w:val="en-GB"/>
              </w:rPr>
              <w:t>1</w:t>
            </w:r>
          </w:p>
        </w:tc>
        <w:tc>
          <w:tcPr>
            <w:tcW w:w="1459" w:type="dxa"/>
          </w:tcPr>
          <w:p w14:paraId="0CCCA119" w14:textId="77777777" w:rsidR="00681764" w:rsidRPr="00514A63" w:rsidRDefault="00681764" w:rsidP="009B253D">
            <w:pPr>
              <w:jc w:val="right"/>
              <w:rPr>
                <w:lang w:val="en-GB"/>
              </w:rPr>
            </w:pPr>
            <w:r w:rsidRPr="440E69A3">
              <w:rPr>
                <w:lang w:val="en-GB"/>
              </w:rPr>
              <w:t>0-10</w:t>
            </w:r>
            <w:r>
              <w:rPr>
                <w:lang w:val="en-GB"/>
              </w:rPr>
              <w:t xml:space="preserve"> </w:t>
            </w:r>
            <w:r w:rsidRPr="440E69A3">
              <w:rPr>
                <w:lang w:val="en-GB"/>
              </w:rPr>
              <w:t>points</w:t>
            </w:r>
          </w:p>
        </w:tc>
      </w:tr>
      <w:tr w:rsidR="000F652A" w:rsidRPr="000F652A" w14:paraId="23AF34A7" w14:textId="77777777" w:rsidTr="00514A63">
        <w:tc>
          <w:tcPr>
            <w:tcW w:w="6017" w:type="dxa"/>
          </w:tcPr>
          <w:p w14:paraId="20020D73" w14:textId="77777777" w:rsidR="000F652A" w:rsidRDefault="000F652A" w:rsidP="00681764">
            <w:pPr>
              <w:pStyle w:val="ListParagraph"/>
              <w:numPr>
                <w:ilvl w:val="1"/>
                <w:numId w:val="32"/>
              </w:numPr>
              <w:rPr>
                <w:lang w:val="en-GB"/>
              </w:rPr>
            </w:pPr>
            <w:r>
              <w:rPr>
                <w:lang w:val="en-GB"/>
              </w:rPr>
              <w:t>Value for money</w:t>
            </w:r>
          </w:p>
          <w:p w14:paraId="09CAC2C8" w14:textId="77777777" w:rsidR="000F652A" w:rsidRPr="000F652A" w:rsidRDefault="000F652A" w:rsidP="009B253D">
            <w:pPr>
              <w:ind w:left="360"/>
              <w:rPr>
                <w:lang w:val="en-GB"/>
              </w:rPr>
            </w:pPr>
            <w:r>
              <w:rPr>
                <w:lang w:val="en-GB"/>
              </w:rPr>
              <w:t xml:space="preserve">This criterion rates to what extent the </w:t>
            </w:r>
            <w:r w:rsidR="00847BBD">
              <w:rPr>
                <w:lang w:val="en-GB"/>
              </w:rPr>
              <w:t xml:space="preserve">proposed activities and promised results </w:t>
            </w:r>
            <w:r>
              <w:rPr>
                <w:lang w:val="en-GB"/>
              </w:rPr>
              <w:t xml:space="preserve">justifies </w:t>
            </w:r>
            <w:r w:rsidR="00847BBD">
              <w:rPr>
                <w:lang w:val="en-GB"/>
              </w:rPr>
              <w:t>the requested budget</w:t>
            </w:r>
          </w:p>
        </w:tc>
        <w:tc>
          <w:tcPr>
            <w:tcW w:w="1472" w:type="dxa"/>
          </w:tcPr>
          <w:p w14:paraId="429F2981" w14:textId="77777777" w:rsidR="000F652A" w:rsidRDefault="002E2562" w:rsidP="00681764">
            <w:pPr>
              <w:jc w:val="right"/>
              <w:rPr>
                <w:lang w:val="en-GB"/>
              </w:rPr>
            </w:pPr>
            <w:r>
              <w:rPr>
                <w:lang w:val="en-GB"/>
              </w:rPr>
              <w:t>2</w:t>
            </w:r>
          </w:p>
        </w:tc>
        <w:tc>
          <w:tcPr>
            <w:tcW w:w="1459" w:type="dxa"/>
          </w:tcPr>
          <w:p w14:paraId="6F081234" w14:textId="77777777" w:rsidR="000F652A" w:rsidRPr="440E69A3" w:rsidRDefault="00847BBD" w:rsidP="00681764">
            <w:pPr>
              <w:jc w:val="right"/>
              <w:rPr>
                <w:lang w:val="en-GB"/>
              </w:rPr>
            </w:pPr>
            <w:r>
              <w:rPr>
                <w:lang w:val="en-GB"/>
              </w:rPr>
              <w:t>0-10 points</w:t>
            </w:r>
          </w:p>
        </w:tc>
      </w:tr>
      <w:tr w:rsidR="0076724C" w:rsidRPr="002E2562" w14:paraId="0D41C8ED" w14:textId="77777777" w:rsidTr="009B253D">
        <w:tc>
          <w:tcPr>
            <w:tcW w:w="6017" w:type="dxa"/>
            <w:shd w:val="clear" w:color="auto" w:fill="DCDCDC" w:themeFill="background1" w:themeFillShade="E6"/>
          </w:tcPr>
          <w:p w14:paraId="1383A38B" w14:textId="77777777" w:rsidR="0076724C" w:rsidRPr="00D74601" w:rsidRDefault="00667B17">
            <w:pPr>
              <w:pStyle w:val="ListParagraph"/>
              <w:numPr>
                <w:ilvl w:val="0"/>
                <w:numId w:val="32"/>
              </w:numPr>
              <w:rPr>
                <w:b/>
                <w:bCs/>
                <w:lang w:val="en-GB"/>
              </w:rPr>
            </w:pPr>
            <w:r>
              <w:rPr>
                <w:b/>
                <w:bCs/>
                <w:lang w:val="en-GB"/>
              </w:rPr>
              <w:t>Geographical impact: c</w:t>
            </w:r>
            <w:r w:rsidR="00681764">
              <w:rPr>
                <w:b/>
                <w:bCs/>
                <w:lang w:val="en-GB"/>
              </w:rPr>
              <w:t xml:space="preserve">ross-border </w:t>
            </w:r>
            <w:r>
              <w:rPr>
                <w:b/>
                <w:bCs/>
                <w:lang w:val="en-GB"/>
              </w:rPr>
              <w:t>test beds</w:t>
            </w:r>
          </w:p>
        </w:tc>
        <w:tc>
          <w:tcPr>
            <w:tcW w:w="1472" w:type="dxa"/>
            <w:shd w:val="clear" w:color="auto" w:fill="DCDCDC" w:themeFill="background1" w:themeFillShade="E6"/>
          </w:tcPr>
          <w:p w14:paraId="3C25B9CD" w14:textId="77777777" w:rsidR="0076724C" w:rsidRDefault="00300958" w:rsidP="00E034FC">
            <w:pPr>
              <w:jc w:val="right"/>
              <w:rPr>
                <w:lang w:val="en-GB"/>
              </w:rPr>
            </w:pPr>
            <w:r>
              <w:rPr>
                <w:lang w:val="en-GB"/>
              </w:rPr>
              <w:t>(13%)</w:t>
            </w:r>
          </w:p>
        </w:tc>
        <w:tc>
          <w:tcPr>
            <w:tcW w:w="1459" w:type="dxa"/>
            <w:shd w:val="clear" w:color="auto" w:fill="DCDCDC" w:themeFill="background1" w:themeFillShade="E6"/>
          </w:tcPr>
          <w:p w14:paraId="0E55D10E" w14:textId="77777777" w:rsidR="0076724C" w:rsidRDefault="00300958" w:rsidP="00E034FC">
            <w:pPr>
              <w:jc w:val="right"/>
              <w:rPr>
                <w:lang w:val="en-GB"/>
              </w:rPr>
            </w:pPr>
            <w:r>
              <w:rPr>
                <w:lang w:val="en-GB"/>
              </w:rPr>
              <w:t>(max. 20)</w:t>
            </w:r>
          </w:p>
        </w:tc>
      </w:tr>
      <w:tr w:rsidR="00514A63" w14:paraId="2C254F75" w14:textId="77777777" w:rsidTr="00514A63">
        <w:tc>
          <w:tcPr>
            <w:tcW w:w="6017" w:type="dxa"/>
          </w:tcPr>
          <w:p w14:paraId="2FC5E079" w14:textId="77777777" w:rsidR="00514A63" w:rsidRPr="00F84F2E" w:rsidRDefault="00183386" w:rsidP="00514A63">
            <w:pPr>
              <w:pStyle w:val="ListParagraph"/>
              <w:numPr>
                <w:ilvl w:val="1"/>
                <w:numId w:val="32"/>
              </w:numPr>
              <w:rPr>
                <w:lang w:val="en-GB"/>
              </w:rPr>
            </w:pPr>
            <w:r>
              <w:rPr>
                <w:lang w:val="en-GB"/>
              </w:rPr>
              <w:t>T</w:t>
            </w:r>
            <w:r w:rsidR="00514A63" w:rsidRPr="440E69A3">
              <w:rPr>
                <w:lang w:val="en-GB"/>
              </w:rPr>
              <w:t>estbed</w:t>
            </w:r>
            <w:r w:rsidR="00C966E6">
              <w:rPr>
                <w:lang w:val="en-GB"/>
              </w:rPr>
              <w:t>s</w:t>
            </w:r>
            <w:r w:rsidR="00514A63" w:rsidRPr="440E69A3">
              <w:rPr>
                <w:lang w:val="en-GB"/>
              </w:rPr>
              <w:t xml:space="preserve"> </w:t>
            </w:r>
            <w:r w:rsidR="00DF3EEF">
              <w:rPr>
                <w:lang w:val="en-GB"/>
              </w:rPr>
              <w:t>in more</w:t>
            </w:r>
            <w:r w:rsidR="00514A63" w:rsidRPr="440E69A3">
              <w:rPr>
                <w:lang w:val="en-GB"/>
              </w:rPr>
              <w:t xml:space="preserve"> countr</w:t>
            </w:r>
            <w:r w:rsidR="00DF3EEF">
              <w:rPr>
                <w:lang w:val="en-GB"/>
              </w:rPr>
              <w:t>ies</w:t>
            </w:r>
          </w:p>
          <w:p w14:paraId="55415A85" w14:textId="77777777" w:rsidR="00667B17" w:rsidRDefault="00514A63">
            <w:pPr>
              <w:ind w:left="360"/>
              <w:rPr>
                <w:lang w:val="en-GB"/>
              </w:rPr>
            </w:pPr>
            <w:r w:rsidRPr="440E69A3">
              <w:rPr>
                <w:lang w:val="en-GB"/>
              </w:rPr>
              <w:t>Every application with a testbed in</w:t>
            </w:r>
            <w:r w:rsidR="00386B34">
              <w:rPr>
                <w:lang w:val="en-GB"/>
              </w:rPr>
              <w:t xml:space="preserve"> an additional</w:t>
            </w:r>
            <w:r w:rsidRPr="440E69A3">
              <w:rPr>
                <w:lang w:val="en-GB"/>
              </w:rPr>
              <w:t xml:space="preserve"> </w:t>
            </w:r>
            <w:r w:rsidR="00667B17">
              <w:rPr>
                <w:lang w:val="en-GB"/>
              </w:rPr>
              <w:t xml:space="preserve">member state </w:t>
            </w:r>
            <w:r w:rsidRPr="440E69A3">
              <w:rPr>
                <w:lang w:val="en-GB"/>
              </w:rPr>
              <w:t>receives extra points. The objective of this criterion is to extend the coverage of the IoF2020 use cases geographically, within the EU</w:t>
            </w:r>
            <w:r w:rsidR="00037DC3">
              <w:rPr>
                <w:lang w:val="en-GB"/>
              </w:rPr>
              <w:t xml:space="preserve"> and/or associated countries</w:t>
            </w:r>
            <w:r w:rsidRPr="440E69A3">
              <w:rPr>
                <w:lang w:val="en-GB"/>
              </w:rPr>
              <w:t>.</w:t>
            </w:r>
          </w:p>
          <w:p w14:paraId="473A94FB" w14:textId="77777777" w:rsidR="00514A63" w:rsidRDefault="00667B17" w:rsidP="0057734F">
            <w:pPr>
              <w:spacing w:before="0" w:after="0"/>
              <w:ind w:left="360"/>
              <w:rPr>
                <w:lang w:val="en-GB"/>
              </w:rPr>
            </w:pPr>
            <w:r>
              <w:rPr>
                <w:lang w:val="en-GB"/>
              </w:rPr>
              <w:t>1 member state: 0 points</w:t>
            </w:r>
            <w:r w:rsidR="0057734F">
              <w:rPr>
                <w:lang w:val="en-GB"/>
              </w:rPr>
              <w:t xml:space="preserve">; </w:t>
            </w:r>
            <w:r>
              <w:rPr>
                <w:lang w:val="en-GB"/>
              </w:rPr>
              <w:t>2 member state</w:t>
            </w:r>
            <w:r w:rsidR="009119F5">
              <w:rPr>
                <w:lang w:val="en-GB"/>
              </w:rPr>
              <w:t>s</w:t>
            </w:r>
            <w:r>
              <w:rPr>
                <w:lang w:val="en-GB"/>
              </w:rPr>
              <w:t>: 5 points</w:t>
            </w:r>
            <w:r w:rsidR="0057734F">
              <w:rPr>
                <w:lang w:val="en-GB"/>
              </w:rPr>
              <w:t xml:space="preserve">; </w:t>
            </w:r>
          </w:p>
          <w:p w14:paraId="2D7233E8" w14:textId="77777777" w:rsidR="00667B17" w:rsidRPr="00F84F2E" w:rsidRDefault="00667B17" w:rsidP="0057734F">
            <w:pPr>
              <w:spacing w:before="0" w:after="0"/>
              <w:ind w:left="360"/>
              <w:rPr>
                <w:lang w:val="en-GB"/>
              </w:rPr>
            </w:pPr>
            <w:r>
              <w:rPr>
                <w:lang w:val="en-GB"/>
              </w:rPr>
              <w:t xml:space="preserve">3 </w:t>
            </w:r>
            <w:r w:rsidR="00386B34">
              <w:rPr>
                <w:lang w:val="en-GB"/>
              </w:rPr>
              <w:t xml:space="preserve">or more </w:t>
            </w:r>
            <w:r>
              <w:rPr>
                <w:lang w:val="en-GB"/>
              </w:rPr>
              <w:t>member states: 10 points</w:t>
            </w:r>
          </w:p>
        </w:tc>
        <w:tc>
          <w:tcPr>
            <w:tcW w:w="1472" w:type="dxa"/>
          </w:tcPr>
          <w:p w14:paraId="113E1324" w14:textId="77777777" w:rsidR="00514A63" w:rsidRDefault="00847BBD">
            <w:pPr>
              <w:jc w:val="right"/>
              <w:rPr>
                <w:lang w:val="en-GB"/>
              </w:rPr>
            </w:pPr>
            <w:r>
              <w:rPr>
                <w:lang w:val="en-GB"/>
              </w:rPr>
              <w:t>2</w:t>
            </w:r>
          </w:p>
        </w:tc>
        <w:tc>
          <w:tcPr>
            <w:tcW w:w="1459" w:type="dxa"/>
          </w:tcPr>
          <w:p w14:paraId="157106FA" w14:textId="77777777" w:rsidR="00514A63" w:rsidRDefault="00514A63" w:rsidP="00514A63">
            <w:pPr>
              <w:jc w:val="right"/>
              <w:rPr>
                <w:lang w:val="en-GB"/>
              </w:rPr>
            </w:pPr>
            <w:r w:rsidRPr="440E69A3">
              <w:rPr>
                <w:lang w:val="en-GB"/>
              </w:rPr>
              <w:t>0-10 points</w:t>
            </w:r>
          </w:p>
        </w:tc>
      </w:tr>
      <w:tr w:rsidR="0076724C" w:rsidRPr="002E2562" w14:paraId="72B4B333" w14:textId="77777777" w:rsidTr="00D61989">
        <w:tc>
          <w:tcPr>
            <w:tcW w:w="6017" w:type="dxa"/>
            <w:shd w:val="clear" w:color="auto" w:fill="DCDCDC" w:themeFill="background1" w:themeFillShade="E6"/>
          </w:tcPr>
          <w:p w14:paraId="2E65FC8B" w14:textId="77777777" w:rsidR="0076724C" w:rsidRPr="001B59A1" w:rsidRDefault="440E69A3">
            <w:pPr>
              <w:pStyle w:val="ListParagraph"/>
              <w:numPr>
                <w:ilvl w:val="0"/>
                <w:numId w:val="32"/>
              </w:numPr>
              <w:rPr>
                <w:b/>
                <w:bCs/>
              </w:rPr>
            </w:pPr>
            <w:r w:rsidRPr="440E69A3">
              <w:rPr>
                <w:b/>
                <w:bCs/>
              </w:rPr>
              <w:t xml:space="preserve">Business </w:t>
            </w:r>
            <w:r w:rsidR="00667B17">
              <w:rPr>
                <w:b/>
                <w:bCs/>
              </w:rPr>
              <w:t>Impact: business plan and scalability</w:t>
            </w:r>
          </w:p>
        </w:tc>
        <w:tc>
          <w:tcPr>
            <w:tcW w:w="1472" w:type="dxa"/>
            <w:shd w:val="clear" w:color="auto" w:fill="DCDCDC" w:themeFill="background1" w:themeFillShade="E6"/>
          </w:tcPr>
          <w:p w14:paraId="19962D73" w14:textId="77777777" w:rsidR="0076724C" w:rsidRPr="001B59A1" w:rsidRDefault="00300958" w:rsidP="00E034FC">
            <w:pPr>
              <w:jc w:val="right"/>
              <w:rPr>
                <w:lang w:val="en-US"/>
              </w:rPr>
            </w:pPr>
            <w:r>
              <w:rPr>
                <w:lang w:val="en-US"/>
              </w:rPr>
              <w:t>(20%)</w:t>
            </w:r>
          </w:p>
        </w:tc>
        <w:tc>
          <w:tcPr>
            <w:tcW w:w="1459" w:type="dxa"/>
            <w:shd w:val="clear" w:color="auto" w:fill="DCDCDC" w:themeFill="background1" w:themeFillShade="E6"/>
          </w:tcPr>
          <w:p w14:paraId="315A5D29" w14:textId="77777777" w:rsidR="0076724C" w:rsidRPr="001B59A1" w:rsidRDefault="00300958" w:rsidP="00E034FC">
            <w:pPr>
              <w:jc w:val="right"/>
              <w:rPr>
                <w:lang w:val="en-US"/>
              </w:rPr>
            </w:pPr>
            <w:r>
              <w:rPr>
                <w:lang w:val="en-US"/>
              </w:rPr>
              <w:t xml:space="preserve">(max. 30) </w:t>
            </w:r>
          </w:p>
        </w:tc>
      </w:tr>
      <w:tr w:rsidR="0076724C" w:rsidRPr="001B59A1" w14:paraId="51BB51B0" w14:textId="77777777" w:rsidTr="00514A63">
        <w:tc>
          <w:tcPr>
            <w:tcW w:w="6017" w:type="dxa"/>
          </w:tcPr>
          <w:p w14:paraId="194BAC68" w14:textId="77777777" w:rsidR="0076724C" w:rsidRDefault="440E69A3" w:rsidP="00D74601">
            <w:pPr>
              <w:pStyle w:val="ListParagraph"/>
              <w:numPr>
                <w:ilvl w:val="1"/>
                <w:numId w:val="32"/>
              </w:numPr>
              <w:rPr>
                <w:lang w:val="en-GB"/>
              </w:rPr>
            </w:pPr>
            <w:r w:rsidRPr="440E69A3">
              <w:rPr>
                <w:lang w:val="en-GB"/>
              </w:rPr>
              <w:t xml:space="preserve">Business </w:t>
            </w:r>
            <w:r w:rsidR="00D61989">
              <w:rPr>
                <w:lang w:val="en-GB"/>
              </w:rPr>
              <w:t>Model</w:t>
            </w:r>
          </w:p>
          <w:p w14:paraId="0721D572" w14:textId="77777777" w:rsidR="0076724C" w:rsidRPr="001B59A1" w:rsidRDefault="00EE74E9">
            <w:pPr>
              <w:ind w:left="360"/>
              <w:rPr>
                <w:lang w:val="en-GB"/>
              </w:rPr>
            </w:pPr>
            <w:r w:rsidRPr="00EE74E9">
              <w:rPr>
                <w:lang w:val="en-GB"/>
              </w:rPr>
              <w:t>Credibility</w:t>
            </w:r>
            <w:r w:rsidR="009119F5">
              <w:rPr>
                <w:lang w:val="en-GB"/>
              </w:rPr>
              <w:t xml:space="preserve"> of the business planning regard</w:t>
            </w:r>
            <w:r w:rsidRPr="00EE74E9">
              <w:rPr>
                <w:lang w:val="en-GB"/>
              </w:rPr>
              <w:t>ing sustainable exploitation (including data brokerage), market entry &amp; expansion, financial projections and resources.</w:t>
            </w:r>
          </w:p>
        </w:tc>
        <w:tc>
          <w:tcPr>
            <w:tcW w:w="1472" w:type="dxa"/>
          </w:tcPr>
          <w:p w14:paraId="38062AB7" w14:textId="77777777" w:rsidR="0076724C" w:rsidRPr="001B59A1" w:rsidRDefault="440E69A3" w:rsidP="440E69A3">
            <w:pPr>
              <w:jc w:val="right"/>
              <w:rPr>
                <w:lang w:val="en-US"/>
              </w:rPr>
            </w:pPr>
            <w:r w:rsidRPr="440E69A3">
              <w:rPr>
                <w:lang w:val="en-US"/>
              </w:rPr>
              <w:t>2</w:t>
            </w:r>
          </w:p>
        </w:tc>
        <w:tc>
          <w:tcPr>
            <w:tcW w:w="1459" w:type="dxa"/>
          </w:tcPr>
          <w:p w14:paraId="5FA18013" w14:textId="77777777" w:rsidR="0076724C" w:rsidRDefault="440E69A3" w:rsidP="440E69A3">
            <w:pPr>
              <w:jc w:val="right"/>
              <w:rPr>
                <w:lang w:val="en-US"/>
              </w:rPr>
            </w:pPr>
            <w:r w:rsidRPr="440E69A3">
              <w:rPr>
                <w:lang w:val="en-US"/>
              </w:rPr>
              <w:t>0-10 points</w:t>
            </w:r>
          </w:p>
        </w:tc>
      </w:tr>
      <w:tr w:rsidR="0076724C" w:rsidRPr="001B59A1" w14:paraId="090B6744" w14:textId="77777777" w:rsidTr="00514A63">
        <w:tc>
          <w:tcPr>
            <w:tcW w:w="6017" w:type="dxa"/>
          </w:tcPr>
          <w:p w14:paraId="1A399F49" w14:textId="77777777" w:rsidR="0076724C" w:rsidRPr="001B59A1" w:rsidRDefault="440E69A3" w:rsidP="00D74601">
            <w:pPr>
              <w:pStyle w:val="ListParagraph"/>
              <w:numPr>
                <w:ilvl w:val="1"/>
                <w:numId w:val="32"/>
              </w:numPr>
              <w:rPr>
                <w:lang w:val="en-GB"/>
              </w:rPr>
            </w:pPr>
            <w:r w:rsidRPr="440E69A3">
              <w:rPr>
                <w:lang w:val="en-GB"/>
              </w:rPr>
              <w:t xml:space="preserve">Scalability </w:t>
            </w:r>
          </w:p>
          <w:p w14:paraId="2FA07EE6" w14:textId="77777777" w:rsidR="0076724C" w:rsidRPr="001B59A1" w:rsidRDefault="440E69A3" w:rsidP="440E69A3">
            <w:pPr>
              <w:ind w:left="360"/>
              <w:rPr>
                <w:lang w:val="en-GB"/>
              </w:rPr>
            </w:pPr>
            <w:r w:rsidRPr="440E69A3">
              <w:rPr>
                <w:lang w:val="en-GB"/>
              </w:rPr>
              <w:t xml:space="preserve">This criterion rates the ability of the proposed solution to </w:t>
            </w:r>
            <w:r w:rsidR="00667B17">
              <w:rPr>
                <w:lang w:val="en-GB"/>
              </w:rPr>
              <w:t>up</w:t>
            </w:r>
            <w:r w:rsidRPr="440E69A3">
              <w:rPr>
                <w:lang w:val="en-GB"/>
              </w:rPr>
              <w:t xml:space="preserve">scale quickly on the European and international markets.  </w:t>
            </w:r>
          </w:p>
        </w:tc>
        <w:tc>
          <w:tcPr>
            <w:tcW w:w="1472" w:type="dxa"/>
          </w:tcPr>
          <w:p w14:paraId="3B310D0E" w14:textId="77777777" w:rsidR="0076724C" w:rsidRPr="001B59A1" w:rsidRDefault="440E69A3" w:rsidP="440E69A3">
            <w:pPr>
              <w:jc w:val="right"/>
              <w:rPr>
                <w:lang w:val="en-US"/>
              </w:rPr>
            </w:pPr>
            <w:r w:rsidRPr="440E69A3">
              <w:rPr>
                <w:lang w:val="en-US"/>
              </w:rPr>
              <w:t>1</w:t>
            </w:r>
          </w:p>
        </w:tc>
        <w:tc>
          <w:tcPr>
            <w:tcW w:w="1459" w:type="dxa"/>
          </w:tcPr>
          <w:p w14:paraId="63CEA135" w14:textId="77777777" w:rsidR="0076724C" w:rsidRPr="001B59A1" w:rsidRDefault="440E69A3" w:rsidP="440E69A3">
            <w:pPr>
              <w:jc w:val="right"/>
              <w:rPr>
                <w:lang w:val="en-US"/>
              </w:rPr>
            </w:pPr>
            <w:r w:rsidRPr="440E69A3">
              <w:rPr>
                <w:lang w:val="en-US"/>
              </w:rPr>
              <w:t>0-10 points</w:t>
            </w:r>
          </w:p>
        </w:tc>
      </w:tr>
      <w:tr w:rsidR="0076724C" w:rsidRPr="002E2562" w14:paraId="20E9CBCC" w14:textId="77777777" w:rsidTr="00D61989">
        <w:tc>
          <w:tcPr>
            <w:tcW w:w="6017" w:type="dxa"/>
            <w:shd w:val="clear" w:color="auto" w:fill="DCDCDC" w:themeFill="background1" w:themeFillShade="E6"/>
          </w:tcPr>
          <w:p w14:paraId="15855C98" w14:textId="77777777" w:rsidR="0076724C" w:rsidRPr="001B59A1" w:rsidRDefault="440E69A3" w:rsidP="00D74601">
            <w:pPr>
              <w:pStyle w:val="ListParagraph"/>
              <w:numPr>
                <w:ilvl w:val="0"/>
                <w:numId w:val="32"/>
              </w:numPr>
              <w:rPr>
                <w:b/>
                <w:bCs/>
              </w:rPr>
            </w:pPr>
            <w:r w:rsidRPr="440E69A3">
              <w:rPr>
                <w:b/>
                <w:bCs/>
              </w:rPr>
              <w:t>Technology</w:t>
            </w:r>
            <w:r w:rsidR="00667B17">
              <w:rPr>
                <w:b/>
                <w:bCs/>
              </w:rPr>
              <w:t xml:space="preserve"> impact</w:t>
            </w:r>
            <w:r w:rsidR="00DB3BD3">
              <w:rPr>
                <w:b/>
                <w:bCs/>
              </w:rPr>
              <w:t xml:space="preserve"> and use of standards</w:t>
            </w:r>
          </w:p>
        </w:tc>
        <w:tc>
          <w:tcPr>
            <w:tcW w:w="1472" w:type="dxa"/>
            <w:shd w:val="clear" w:color="auto" w:fill="DCDCDC" w:themeFill="background1" w:themeFillShade="E6"/>
          </w:tcPr>
          <w:p w14:paraId="383DF23C" w14:textId="77777777" w:rsidR="0076724C" w:rsidRPr="001B59A1" w:rsidRDefault="00300958" w:rsidP="00E034FC">
            <w:pPr>
              <w:jc w:val="right"/>
              <w:rPr>
                <w:lang w:val="en-US"/>
              </w:rPr>
            </w:pPr>
            <w:r>
              <w:rPr>
                <w:lang w:val="en-US"/>
              </w:rPr>
              <w:t>(13%)</w:t>
            </w:r>
          </w:p>
        </w:tc>
        <w:tc>
          <w:tcPr>
            <w:tcW w:w="1459" w:type="dxa"/>
            <w:shd w:val="clear" w:color="auto" w:fill="DCDCDC" w:themeFill="background1" w:themeFillShade="E6"/>
          </w:tcPr>
          <w:p w14:paraId="3B82B86C" w14:textId="77777777" w:rsidR="0076724C" w:rsidRPr="001B59A1" w:rsidRDefault="00300958" w:rsidP="00E034FC">
            <w:pPr>
              <w:jc w:val="right"/>
              <w:rPr>
                <w:lang w:val="en-US"/>
              </w:rPr>
            </w:pPr>
            <w:r>
              <w:rPr>
                <w:lang w:val="en-US"/>
              </w:rPr>
              <w:t>(max. 20)</w:t>
            </w:r>
          </w:p>
        </w:tc>
      </w:tr>
      <w:tr w:rsidR="0076724C" w:rsidRPr="001B59A1" w14:paraId="7166271A" w14:textId="77777777" w:rsidTr="00514A63">
        <w:tc>
          <w:tcPr>
            <w:tcW w:w="6017" w:type="dxa"/>
          </w:tcPr>
          <w:p w14:paraId="443C0C4E" w14:textId="77777777" w:rsidR="0076724C" w:rsidRPr="00514A63" w:rsidRDefault="440E69A3" w:rsidP="00514A63">
            <w:pPr>
              <w:pStyle w:val="ListParagraph"/>
              <w:numPr>
                <w:ilvl w:val="1"/>
                <w:numId w:val="32"/>
              </w:numPr>
            </w:pPr>
            <w:r w:rsidRPr="440E69A3">
              <w:rPr>
                <w:lang w:val="en-GB"/>
              </w:rPr>
              <w:t xml:space="preserve">IoT </w:t>
            </w:r>
            <w:r w:rsidR="00514A63">
              <w:rPr>
                <w:lang w:val="en-GB"/>
              </w:rPr>
              <w:t>solution,</w:t>
            </w:r>
            <w:r w:rsidR="00514A63">
              <w:t xml:space="preserve"> </w:t>
            </w:r>
            <w:r w:rsidR="00667B17">
              <w:t>c</w:t>
            </w:r>
            <w:r w:rsidR="00514A63">
              <w:t>oncept</w:t>
            </w:r>
            <w:r w:rsidR="00667B17">
              <w:t xml:space="preserve"> and </w:t>
            </w:r>
            <w:r w:rsidR="00514A63">
              <w:t xml:space="preserve"> </w:t>
            </w:r>
            <w:r w:rsidR="00D61989">
              <w:t>i</w:t>
            </w:r>
            <w:r w:rsidR="00514A63">
              <w:t>nnovation</w:t>
            </w:r>
          </w:p>
          <w:p w14:paraId="4EB0D2D8" w14:textId="77777777" w:rsidR="00EE74E9" w:rsidRDefault="00667B17" w:rsidP="00EE74E9">
            <w:pPr>
              <w:ind w:left="360"/>
              <w:rPr>
                <w:lang w:val="en-US"/>
              </w:rPr>
            </w:pPr>
            <w:r w:rsidRPr="00D61989">
              <w:rPr>
                <w:lang w:val="en-GB"/>
              </w:rPr>
              <w:lastRenderedPageBreak/>
              <w:t xml:space="preserve">This criterion rates the </w:t>
            </w:r>
            <w:r>
              <w:rPr>
                <w:lang w:val="en-GB"/>
              </w:rPr>
              <w:t xml:space="preserve">innovativeness, </w:t>
            </w:r>
            <w:r w:rsidRPr="00D61989">
              <w:rPr>
                <w:lang w:val="en-GB"/>
              </w:rPr>
              <w:t>credibility</w:t>
            </w:r>
            <w:r>
              <w:rPr>
                <w:lang w:val="en-GB"/>
              </w:rPr>
              <w:t xml:space="preserve"> and f</w:t>
            </w:r>
            <w:r w:rsidRPr="00D61989">
              <w:rPr>
                <w:lang w:val="en-GB"/>
              </w:rPr>
              <w:t xml:space="preserve">easibility of the technological </w:t>
            </w:r>
            <w:r>
              <w:rPr>
                <w:lang w:val="en-GB"/>
              </w:rPr>
              <w:t xml:space="preserve">IoT </w:t>
            </w:r>
            <w:r w:rsidRPr="00D61989">
              <w:rPr>
                <w:lang w:val="en-GB"/>
              </w:rPr>
              <w:t>concept</w:t>
            </w:r>
            <w:r w:rsidR="00EE74E9">
              <w:rPr>
                <w:lang w:val="en-GB"/>
              </w:rPr>
              <w:t>, and also security &amp; data privacy</w:t>
            </w:r>
            <w:r w:rsidRPr="00D61989">
              <w:rPr>
                <w:lang w:val="en-GB"/>
              </w:rPr>
              <w:t>.</w:t>
            </w:r>
          </w:p>
          <w:p w14:paraId="70957F62" w14:textId="77777777" w:rsidR="0076724C" w:rsidRPr="00167528" w:rsidRDefault="440E69A3" w:rsidP="00EE74E9">
            <w:pPr>
              <w:ind w:left="360"/>
              <w:rPr>
                <w:lang w:val="en-GB"/>
              </w:rPr>
            </w:pPr>
            <w:r w:rsidRPr="440E69A3">
              <w:rPr>
                <w:lang w:val="en-GB"/>
              </w:rPr>
              <w:t xml:space="preserve">The proposed </w:t>
            </w:r>
            <w:r w:rsidR="00667B17">
              <w:rPr>
                <w:lang w:val="en-GB"/>
              </w:rPr>
              <w:t xml:space="preserve">product or service </w:t>
            </w:r>
            <w:r w:rsidRPr="440E69A3">
              <w:rPr>
                <w:lang w:val="en-GB"/>
              </w:rPr>
              <w:t>should make significant use of data from connected devices or develop IoT devices itself.</w:t>
            </w:r>
            <w:r w:rsidR="00EE74E9">
              <w:t xml:space="preserve"> </w:t>
            </w:r>
            <w:r w:rsidR="00514A63" w:rsidRPr="00514A63">
              <w:rPr>
                <w:i/>
                <w:lang w:val="en-GB"/>
              </w:rPr>
              <w:t xml:space="preserve"> </w:t>
            </w:r>
          </w:p>
        </w:tc>
        <w:tc>
          <w:tcPr>
            <w:tcW w:w="1472" w:type="dxa"/>
          </w:tcPr>
          <w:p w14:paraId="3244C76A" w14:textId="77777777" w:rsidR="0076724C" w:rsidRPr="001B59A1" w:rsidRDefault="00514A63" w:rsidP="440E69A3">
            <w:pPr>
              <w:jc w:val="right"/>
              <w:rPr>
                <w:lang w:val="en-US"/>
              </w:rPr>
            </w:pPr>
            <w:r>
              <w:rPr>
                <w:lang w:val="en-US"/>
              </w:rPr>
              <w:lastRenderedPageBreak/>
              <w:t>1</w:t>
            </w:r>
          </w:p>
        </w:tc>
        <w:tc>
          <w:tcPr>
            <w:tcW w:w="1459" w:type="dxa"/>
          </w:tcPr>
          <w:p w14:paraId="13A30E3E" w14:textId="77777777" w:rsidR="0076724C" w:rsidRPr="001B59A1" w:rsidRDefault="440E69A3" w:rsidP="440E69A3">
            <w:pPr>
              <w:jc w:val="right"/>
              <w:rPr>
                <w:lang w:val="en-US"/>
              </w:rPr>
            </w:pPr>
            <w:r w:rsidRPr="440E69A3">
              <w:rPr>
                <w:lang w:val="en-US"/>
              </w:rPr>
              <w:t>0-10 points</w:t>
            </w:r>
          </w:p>
        </w:tc>
      </w:tr>
      <w:tr w:rsidR="0076724C" w:rsidRPr="001B59A1" w14:paraId="24E9F519" w14:textId="77777777" w:rsidTr="00514A63">
        <w:tc>
          <w:tcPr>
            <w:tcW w:w="6017" w:type="dxa"/>
          </w:tcPr>
          <w:p w14:paraId="76F714B1" w14:textId="77777777" w:rsidR="0076724C" w:rsidRDefault="00007B43" w:rsidP="00D74601">
            <w:pPr>
              <w:pStyle w:val="ListParagraph"/>
              <w:numPr>
                <w:ilvl w:val="1"/>
                <w:numId w:val="32"/>
              </w:numPr>
            </w:pPr>
            <w:r>
              <w:rPr>
                <w:lang w:val="en-GB"/>
              </w:rPr>
              <w:t>Interoperability, replicability and reusability of the developed solution.</w:t>
            </w:r>
          </w:p>
          <w:p w14:paraId="7FE1BB10" w14:textId="316BB85E" w:rsidR="0076724C" w:rsidRPr="00967611" w:rsidRDefault="440E69A3" w:rsidP="003F11D8">
            <w:pPr>
              <w:ind w:left="360"/>
              <w:rPr>
                <w:lang w:val="en-US"/>
              </w:rPr>
            </w:pPr>
            <w:r w:rsidRPr="440E69A3">
              <w:rPr>
                <w:lang w:val="en-US"/>
              </w:rPr>
              <w:t xml:space="preserve">This criterion rates in how far the </w:t>
            </w:r>
            <w:r w:rsidR="00007B43">
              <w:rPr>
                <w:lang w:val="en-US"/>
              </w:rPr>
              <w:t xml:space="preserve">use case </w:t>
            </w:r>
            <w:r w:rsidR="003F11D8" w:rsidRPr="003F11D8">
              <w:rPr>
                <w:lang w:val="en-US"/>
              </w:rPr>
              <w:t>demonstrate</w:t>
            </w:r>
            <w:r w:rsidR="003F11D8">
              <w:rPr>
                <w:lang w:val="en-US"/>
              </w:rPr>
              <w:t>s</w:t>
            </w:r>
            <w:r w:rsidR="003F11D8" w:rsidRPr="003F11D8">
              <w:rPr>
                <w:lang w:val="en-US"/>
              </w:rPr>
              <w:t xml:space="preserve"> </w:t>
            </w:r>
            <w:r w:rsidR="00007B43">
              <w:rPr>
                <w:lang w:val="en-US"/>
              </w:rPr>
              <w:t>interoperable, replicable and/or reusable components, systems or solutions. The usage of standards is highly appreciated, while using open system initiatives</w:t>
            </w:r>
            <w:r w:rsidR="00333329">
              <w:rPr>
                <w:rStyle w:val="FootnoteReference"/>
                <w:lang w:val="en-US"/>
              </w:rPr>
              <w:footnoteReference w:id="8"/>
            </w:r>
            <w:r w:rsidR="00007B43">
              <w:rPr>
                <w:lang w:val="en-US"/>
              </w:rPr>
              <w:t xml:space="preserve"> will be positively</w:t>
            </w:r>
            <w:r w:rsidRPr="440E69A3">
              <w:rPr>
                <w:lang w:val="en-US"/>
              </w:rPr>
              <w:t xml:space="preserve"> </w:t>
            </w:r>
            <w:r w:rsidR="00007B43">
              <w:rPr>
                <w:lang w:val="en-US"/>
              </w:rPr>
              <w:t>evaluated. The offering of open data is also considered as very valuable and will be evaluated positively.</w:t>
            </w:r>
          </w:p>
        </w:tc>
        <w:tc>
          <w:tcPr>
            <w:tcW w:w="1472" w:type="dxa"/>
          </w:tcPr>
          <w:p w14:paraId="4F3673A1" w14:textId="77777777" w:rsidR="0076724C" w:rsidRPr="001B59A1" w:rsidRDefault="00514A63" w:rsidP="440E69A3">
            <w:pPr>
              <w:jc w:val="right"/>
              <w:rPr>
                <w:lang w:val="en-US"/>
              </w:rPr>
            </w:pPr>
            <w:r>
              <w:rPr>
                <w:lang w:val="en-US"/>
              </w:rPr>
              <w:t>1</w:t>
            </w:r>
          </w:p>
        </w:tc>
        <w:tc>
          <w:tcPr>
            <w:tcW w:w="1459" w:type="dxa"/>
          </w:tcPr>
          <w:p w14:paraId="76FEB81C" w14:textId="77777777" w:rsidR="0076724C" w:rsidRPr="001B59A1" w:rsidRDefault="440E69A3" w:rsidP="00514A63">
            <w:pPr>
              <w:jc w:val="right"/>
              <w:rPr>
                <w:lang w:val="en-US"/>
              </w:rPr>
            </w:pPr>
            <w:r w:rsidRPr="440E69A3">
              <w:rPr>
                <w:lang w:val="en-US"/>
              </w:rPr>
              <w:t>0-</w:t>
            </w:r>
            <w:r w:rsidR="00514A63">
              <w:rPr>
                <w:lang w:val="en-US"/>
              </w:rPr>
              <w:t>10</w:t>
            </w:r>
            <w:r w:rsidRPr="440E69A3">
              <w:rPr>
                <w:lang w:val="en-US"/>
              </w:rPr>
              <w:t xml:space="preserve"> points</w:t>
            </w:r>
          </w:p>
        </w:tc>
      </w:tr>
      <w:tr w:rsidR="0076724C" w:rsidRPr="00300958" w14:paraId="1270CA7C" w14:textId="77777777" w:rsidTr="00007878">
        <w:tc>
          <w:tcPr>
            <w:tcW w:w="6017" w:type="dxa"/>
            <w:shd w:val="clear" w:color="auto" w:fill="DCDCDC" w:themeFill="background1" w:themeFillShade="E6"/>
          </w:tcPr>
          <w:p w14:paraId="3E6C7B5A" w14:textId="77777777" w:rsidR="0076724C" w:rsidRPr="00167528" w:rsidRDefault="440E69A3">
            <w:pPr>
              <w:pStyle w:val="ListParagraph"/>
              <w:numPr>
                <w:ilvl w:val="0"/>
                <w:numId w:val="32"/>
              </w:numPr>
              <w:rPr>
                <w:b/>
                <w:bCs/>
              </w:rPr>
            </w:pPr>
            <w:r w:rsidRPr="440E69A3">
              <w:rPr>
                <w:b/>
                <w:bCs/>
              </w:rPr>
              <w:t xml:space="preserve">Sustainability </w:t>
            </w:r>
            <w:r w:rsidR="000F652A">
              <w:rPr>
                <w:b/>
                <w:bCs/>
              </w:rPr>
              <w:t xml:space="preserve">impact </w:t>
            </w:r>
          </w:p>
        </w:tc>
        <w:tc>
          <w:tcPr>
            <w:tcW w:w="1472" w:type="dxa"/>
            <w:shd w:val="clear" w:color="auto" w:fill="DCDCDC" w:themeFill="background1" w:themeFillShade="E6"/>
          </w:tcPr>
          <w:p w14:paraId="62C4F92B" w14:textId="77777777" w:rsidR="0076724C" w:rsidRPr="001B59A1" w:rsidRDefault="00300958" w:rsidP="00E034FC">
            <w:pPr>
              <w:jc w:val="right"/>
              <w:rPr>
                <w:lang w:val="en-US"/>
              </w:rPr>
            </w:pPr>
            <w:r>
              <w:rPr>
                <w:lang w:val="en-US"/>
              </w:rPr>
              <w:t>(13%)</w:t>
            </w:r>
          </w:p>
        </w:tc>
        <w:tc>
          <w:tcPr>
            <w:tcW w:w="1459" w:type="dxa"/>
            <w:shd w:val="clear" w:color="auto" w:fill="DCDCDC" w:themeFill="background1" w:themeFillShade="E6"/>
          </w:tcPr>
          <w:p w14:paraId="3997DFC8" w14:textId="77777777" w:rsidR="0076724C" w:rsidRPr="001B59A1" w:rsidRDefault="00300958" w:rsidP="00E034FC">
            <w:pPr>
              <w:jc w:val="right"/>
              <w:rPr>
                <w:lang w:val="en-US"/>
              </w:rPr>
            </w:pPr>
            <w:r>
              <w:rPr>
                <w:lang w:val="en-US"/>
              </w:rPr>
              <w:t>(max. 20)</w:t>
            </w:r>
          </w:p>
        </w:tc>
      </w:tr>
      <w:tr w:rsidR="0076724C" w:rsidRPr="001B59A1" w14:paraId="15347456" w14:textId="77777777" w:rsidTr="00514A63">
        <w:tc>
          <w:tcPr>
            <w:tcW w:w="6017" w:type="dxa"/>
          </w:tcPr>
          <w:p w14:paraId="0C14ADD3" w14:textId="77777777" w:rsidR="0076724C" w:rsidRDefault="00D32BBC" w:rsidP="00D74601">
            <w:pPr>
              <w:pStyle w:val="ListParagraph"/>
              <w:numPr>
                <w:ilvl w:val="1"/>
                <w:numId w:val="32"/>
              </w:numPr>
            </w:pPr>
            <w:r>
              <w:t xml:space="preserve">Sustainability </w:t>
            </w:r>
            <w:r w:rsidR="008F6F4D">
              <w:t>impact</w:t>
            </w:r>
          </w:p>
          <w:p w14:paraId="105D22AA" w14:textId="77777777" w:rsidR="0076724C" w:rsidRPr="00DF3EEF" w:rsidRDefault="440E69A3" w:rsidP="00183386">
            <w:pPr>
              <w:ind w:left="360"/>
            </w:pPr>
            <w:r w:rsidRPr="440E69A3">
              <w:rPr>
                <w:lang w:val="en-US"/>
              </w:rPr>
              <w:t xml:space="preserve">This criterion rates in how far the proposed solution is able to contribute to </w:t>
            </w:r>
            <w:r w:rsidR="008F6F4D">
              <w:rPr>
                <w:lang w:val="en-US"/>
              </w:rPr>
              <w:t>sustainability</w:t>
            </w:r>
            <w:r w:rsidR="008F6F4D">
              <w:t xml:space="preserve"> </w:t>
            </w:r>
            <w:r w:rsidR="008F6F4D">
              <w:rPr>
                <w:lang w:val="en-US"/>
              </w:rPr>
              <w:t xml:space="preserve">improvement </w:t>
            </w:r>
            <w:r w:rsidR="008F6F4D" w:rsidRPr="008F6F4D">
              <w:rPr>
                <w:lang w:val="en-US"/>
              </w:rPr>
              <w:t>in a realistic manner.</w:t>
            </w:r>
          </w:p>
        </w:tc>
        <w:tc>
          <w:tcPr>
            <w:tcW w:w="1472" w:type="dxa"/>
          </w:tcPr>
          <w:p w14:paraId="60079146" w14:textId="77777777" w:rsidR="0076724C" w:rsidRPr="001B59A1" w:rsidRDefault="00847BBD" w:rsidP="440E69A3">
            <w:pPr>
              <w:jc w:val="right"/>
              <w:rPr>
                <w:lang w:val="en-US"/>
              </w:rPr>
            </w:pPr>
            <w:r>
              <w:rPr>
                <w:lang w:val="en-US"/>
              </w:rPr>
              <w:t>2</w:t>
            </w:r>
          </w:p>
        </w:tc>
        <w:tc>
          <w:tcPr>
            <w:tcW w:w="1459" w:type="dxa"/>
          </w:tcPr>
          <w:p w14:paraId="1D5D0924" w14:textId="77777777" w:rsidR="0076724C" w:rsidRPr="001B59A1" w:rsidRDefault="440E69A3" w:rsidP="440E69A3">
            <w:pPr>
              <w:jc w:val="right"/>
              <w:rPr>
                <w:lang w:val="en-US"/>
              </w:rPr>
            </w:pPr>
            <w:r w:rsidRPr="440E69A3">
              <w:rPr>
                <w:lang w:val="en-US"/>
              </w:rPr>
              <w:t>0-10 points</w:t>
            </w:r>
          </w:p>
        </w:tc>
      </w:tr>
      <w:tr w:rsidR="00E026A5" w:rsidRPr="00300958" w14:paraId="297891CE" w14:textId="77777777" w:rsidTr="00007878">
        <w:tc>
          <w:tcPr>
            <w:tcW w:w="6017" w:type="dxa"/>
            <w:shd w:val="clear" w:color="auto" w:fill="DCDCDC" w:themeFill="background1" w:themeFillShade="E6"/>
          </w:tcPr>
          <w:p w14:paraId="185FBAF2" w14:textId="77777777" w:rsidR="00E026A5" w:rsidRPr="00007878" w:rsidRDefault="000F652A" w:rsidP="00007878">
            <w:pPr>
              <w:pStyle w:val="ListParagraph"/>
              <w:numPr>
                <w:ilvl w:val="0"/>
                <w:numId w:val="32"/>
              </w:numPr>
              <w:ind w:left="714" w:hanging="357"/>
              <w:rPr>
                <w:b/>
                <w:bCs/>
              </w:rPr>
            </w:pPr>
            <w:r w:rsidRPr="00007878">
              <w:rPr>
                <w:b/>
                <w:bCs/>
              </w:rPr>
              <w:t xml:space="preserve">Financial Impact </w:t>
            </w:r>
          </w:p>
        </w:tc>
        <w:tc>
          <w:tcPr>
            <w:tcW w:w="1472" w:type="dxa"/>
            <w:shd w:val="clear" w:color="auto" w:fill="DCDCDC" w:themeFill="background1" w:themeFillShade="E6"/>
          </w:tcPr>
          <w:p w14:paraId="2B939621" w14:textId="77777777" w:rsidR="00E026A5" w:rsidRDefault="00300958" w:rsidP="00E026A5">
            <w:pPr>
              <w:jc w:val="right"/>
              <w:rPr>
                <w:lang w:val="en-GB"/>
              </w:rPr>
            </w:pPr>
            <w:r>
              <w:rPr>
                <w:lang w:val="en-GB"/>
              </w:rPr>
              <w:t>(13%)</w:t>
            </w:r>
          </w:p>
        </w:tc>
        <w:tc>
          <w:tcPr>
            <w:tcW w:w="1459" w:type="dxa"/>
            <w:shd w:val="clear" w:color="auto" w:fill="DCDCDC" w:themeFill="background1" w:themeFillShade="E6"/>
          </w:tcPr>
          <w:p w14:paraId="57F33D03" w14:textId="77777777" w:rsidR="00E026A5" w:rsidRDefault="00300958" w:rsidP="00E026A5">
            <w:pPr>
              <w:jc w:val="right"/>
              <w:rPr>
                <w:lang w:val="en-GB"/>
              </w:rPr>
            </w:pPr>
            <w:r>
              <w:rPr>
                <w:lang w:val="en-GB"/>
              </w:rPr>
              <w:t>(max. 20)</w:t>
            </w:r>
          </w:p>
        </w:tc>
      </w:tr>
      <w:tr w:rsidR="00E026A5" w:rsidRPr="00E026A5" w14:paraId="14FD9354" w14:textId="77777777" w:rsidTr="00514A63">
        <w:tc>
          <w:tcPr>
            <w:tcW w:w="6017" w:type="dxa"/>
          </w:tcPr>
          <w:p w14:paraId="117E4D07" w14:textId="77777777" w:rsidR="00E026A5" w:rsidRDefault="00E026A5" w:rsidP="00D74601">
            <w:pPr>
              <w:pStyle w:val="ListParagraph"/>
              <w:numPr>
                <w:ilvl w:val="1"/>
                <w:numId w:val="32"/>
              </w:numPr>
              <w:rPr>
                <w:lang w:val="en-GB"/>
              </w:rPr>
            </w:pPr>
            <w:r>
              <w:rPr>
                <w:lang w:val="en-GB"/>
              </w:rPr>
              <w:t>Co-funding - external</w:t>
            </w:r>
          </w:p>
          <w:p w14:paraId="355DBA12" w14:textId="69ADFFC2" w:rsidR="00E026A5" w:rsidRDefault="002D2C56" w:rsidP="00E026A5">
            <w:pPr>
              <w:ind w:left="360"/>
              <w:rPr>
                <w:lang w:val="en-GB"/>
              </w:rPr>
            </w:pPr>
            <w:r>
              <w:rPr>
                <w:lang w:val="en-GB"/>
              </w:rPr>
              <w:t>This criterion refers to external c</w:t>
            </w:r>
            <w:r w:rsidR="00E026A5" w:rsidRPr="005F4FF2">
              <w:rPr>
                <w:lang w:val="en-GB"/>
              </w:rPr>
              <w:t>o-f</w:t>
            </w:r>
            <w:r w:rsidR="00A44487">
              <w:rPr>
                <w:lang w:val="en-GB"/>
              </w:rPr>
              <w:t>und</w:t>
            </w:r>
            <w:r w:rsidR="00E026A5" w:rsidRPr="005F4FF2">
              <w:rPr>
                <w:lang w:val="en-GB"/>
              </w:rPr>
              <w:t xml:space="preserve">ing (e.g. from national/regional funds or private investors) for </w:t>
            </w:r>
            <w:r w:rsidR="002E1ECB">
              <w:rPr>
                <w:lang w:val="en-GB"/>
              </w:rPr>
              <w:t>specific</w:t>
            </w:r>
            <w:r w:rsidR="00E026A5" w:rsidRPr="005F4FF2">
              <w:rPr>
                <w:lang w:val="en-GB"/>
              </w:rPr>
              <w:t xml:space="preserve"> activities</w:t>
            </w:r>
            <w:r w:rsidR="00183386">
              <w:rPr>
                <w:lang w:val="en-GB"/>
              </w:rPr>
              <w:t>, that are originally developed for this proposal</w:t>
            </w:r>
            <w:r w:rsidR="00E026A5" w:rsidRPr="005F4FF2">
              <w:rPr>
                <w:lang w:val="en-GB"/>
              </w:rPr>
              <w:t>.</w:t>
            </w:r>
            <w:r w:rsidR="00A44487">
              <w:rPr>
                <w:lang w:val="en-GB"/>
              </w:rPr>
              <w:t xml:space="preserve"> This refers to </w:t>
            </w:r>
            <w:r w:rsidR="002E1ECB">
              <w:rPr>
                <w:lang w:val="en-GB"/>
              </w:rPr>
              <w:t xml:space="preserve">specific </w:t>
            </w:r>
            <w:r w:rsidR="00A44487">
              <w:rPr>
                <w:lang w:val="en-GB"/>
              </w:rPr>
              <w:t xml:space="preserve">activities or results that </w:t>
            </w:r>
            <w:r w:rsidR="002E1ECB">
              <w:rPr>
                <w:lang w:val="en-GB"/>
              </w:rPr>
              <w:t xml:space="preserve">are clearly described in the proposal but </w:t>
            </w:r>
            <w:r w:rsidR="00A44487">
              <w:rPr>
                <w:lang w:val="en-GB"/>
              </w:rPr>
              <w:t xml:space="preserve">will </w:t>
            </w:r>
            <w:r w:rsidR="002E1ECB">
              <w:rPr>
                <w:lang w:val="en-GB"/>
              </w:rPr>
              <w:t xml:space="preserve">not </w:t>
            </w:r>
            <w:r w:rsidR="00A44487">
              <w:rPr>
                <w:lang w:val="en-GB"/>
              </w:rPr>
              <w:t xml:space="preserve">be </w:t>
            </w:r>
            <w:r w:rsidR="002E1ECB">
              <w:rPr>
                <w:lang w:val="en-GB"/>
              </w:rPr>
              <w:t>covered by the</w:t>
            </w:r>
            <w:r w:rsidR="00A44487">
              <w:rPr>
                <w:lang w:val="en-GB"/>
              </w:rPr>
              <w:t xml:space="preserve"> requested IoF2020 budget.</w:t>
            </w:r>
          </w:p>
          <w:p w14:paraId="67B804AD" w14:textId="77777777" w:rsidR="00E026A5" w:rsidRPr="005F4FF2" w:rsidRDefault="00E026A5" w:rsidP="00584A87">
            <w:pPr>
              <w:spacing w:before="0" w:after="0"/>
              <w:ind w:left="360"/>
              <w:rPr>
                <w:lang w:val="en-GB"/>
              </w:rPr>
            </w:pPr>
            <w:r w:rsidRPr="005F4FF2">
              <w:rPr>
                <w:lang w:val="en-GB"/>
              </w:rPr>
              <w:t>15</w:t>
            </w:r>
            <w:r w:rsidR="00A44487">
              <w:rPr>
                <w:lang w:val="en-GB"/>
              </w:rPr>
              <w:t>-30%</w:t>
            </w:r>
            <w:r w:rsidRPr="005F4FF2">
              <w:rPr>
                <w:lang w:val="en-GB"/>
              </w:rPr>
              <w:t xml:space="preserve"> co-funding: 5 points</w:t>
            </w:r>
          </w:p>
          <w:p w14:paraId="19984D46" w14:textId="77777777" w:rsidR="00E026A5" w:rsidRPr="002D3BA0" w:rsidRDefault="00E026A5" w:rsidP="00584A87">
            <w:pPr>
              <w:spacing w:before="0"/>
              <w:ind w:left="360"/>
              <w:rPr>
                <w:lang w:val="en-GB"/>
              </w:rPr>
            </w:pPr>
            <w:r>
              <w:rPr>
                <w:lang w:val="en-GB"/>
              </w:rPr>
              <w:t>&gt; 30% co-funding: 10 points</w:t>
            </w:r>
          </w:p>
        </w:tc>
        <w:tc>
          <w:tcPr>
            <w:tcW w:w="1472" w:type="dxa"/>
          </w:tcPr>
          <w:p w14:paraId="02D9238A" w14:textId="77777777" w:rsidR="00E026A5" w:rsidRPr="440E69A3" w:rsidRDefault="005E35E9" w:rsidP="00E026A5">
            <w:pPr>
              <w:jc w:val="right"/>
              <w:rPr>
                <w:lang w:val="en-GB"/>
              </w:rPr>
            </w:pPr>
            <w:r>
              <w:rPr>
                <w:lang w:val="en-GB"/>
              </w:rPr>
              <w:t>1</w:t>
            </w:r>
          </w:p>
        </w:tc>
        <w:tc>
          <w:tcPr>
            <w:tcW w:w="1459" w:type="dxa"/>
          </w:tcPr>
          <w:p w14:paraId="5F3525F2" w14:textId="77777777" w:rsidR="00E026A5" w:rsidRPr="440E69A3" w:rsidRDefault="005E35E9" w:rsidP="00E026A5">
            <w:pPr>
              <w:jc w:val="right"/>
              <w:rPr>
                <w:lang w:val="en-GB"/>
              </w:rPr>
            </w:pPr>
            <w:r>
              <w:rPr>
                <w:lang w:val="en-GB"/>
              </w:rPr>
              <w:t>0-10 points</w:t>
            </w:r>
          </w:p>
        </w:tc>
      </w:tr>
      <w:tr w:rsidR="00E026A5" w:rsidRPr="002D2C56" w14:paraId="17E915F8" w14:textId="77777777" w:rsidTr="00514A63">
        <w:tc>
          <w:tcPr>
            <w:tcW w:w="6017" w:type="dxa"/>
          </w:tcPr>
          <w:p w14:paraId="5F09C2E6" w14:textId="77777777" w:rsidR="00E026A5" w:rsidRDefault="00E026A5" w:rsidP="00D74601">
            <w:pPr>
              <w:pStyle w:val="ListParagraph"/>
              <w:numPr>
                <w:ilvl w:val="1"/>
                <w:numId w:val="32"/>
              </w:numPr>
              <w:rPr>
                <w:lang w:val="en-GB"/>
              </w:rPr>
            </w:pPr>
            <w:r>
              <w:rPr>
                <w:lang w:val="en-GB"/>
              </w:rPr>
              <w:t xml:space="preserve"> Private funding </w:t>
            </w:r>
            <w:r w:rsidR="002D2C56">
              <w:rPr>
                <w:lang w:val="en-GB"/>
              </w:rPr>
              <w:t xml:space="preserve">– internal </w:t>
            </w:r>
          </w:p>
          <w:p w14:paraId="1486D30A" w14:textId="486022BE" w:rsidR="00E026A5" w:rsidRDefault="002D2C56" w:rsidP="00E026A5">
            <w:pPr>
              <w:ind w:left="360"/>
              <w:rPr>
                <w:lang w:val="en-GB"/>
              </w:rPr>
            </w:pPr>
            <w:r>
              <w:rPr>
                <w:lang w:val="en-GB"/>
              </w:rPr>
              <w:t xml:space="preserve">This criterion refers to </w:t>
            </w:r>
            <w:r w:rsidR="00E50804">
              <w:rPr>
                <w:lang w:val="en-GB"/>
              </w:rPr>
              <w:t>private</w:t>
            </w:r>
            <w:r w:rsidR="00E026A5">
              <w:rPr>
                <w:lang w:val="en-GB"/>
              </w:rPr>
              <w:t xml:space="preserve"> funding </w:t>
            </w:r>
            <w:r>
              <w:rPr>
                <w:lang w:val="en-GB"/>
              </w:rPr>
              <w:t>(</w:t>
            </w:r>
            <w:r w:rsidRPr="00007878">
              <w:rPr>
                <w:i/>
                <w:lang w:val="en-GB"/>
              </w:rPr>
              <w:t>i.e.</w:t>
            </w:r>
            <w:r>
              <w:rPr>
                <w:lang w:val="en-GB"/>
              </w:rPr>
              <w:t xml:space="preserve"> </w:t>
            </w:r>
            <w:r w:rsidR="00966279">
              <w:rPr>
                <w:lang w:val="en-GB"/>
              </w:rPr>
              <w:t xml:space="preserve">by </w:t>
            </w:r>
            <w:r>
              <w:rPr>
                <w:lang w:val="en-GB"/>
              </w:rPr>
              <w:t xml:space="preserve">one of the consortium partners) in terms of </w:t>
            </w:r>
            <w:r w:rsidR="00D32BBC">
              <w:rPr>
                <w:lang w:val="en-GB"/>
              </w:rPr>
              <w:t xml:space="preserve">new </w:t>
            </w:r>
            <w:r w:rsidR="00E026A5">
              <w:rPr>
                <w:lang w:val="en-GB"/>
              </w:rPr>
              <w:t>equipment.</w:t>
            </w:r>
            <w:r w:rsidR="00966279">
              <w:rPr>
                <w:lang w:val="en-GB"/>
              </w:rPr>
              <w:t xml:space="preserve"> This is about </w:t>
            </w:r>
            <w:r w:rsidR="00966279" w:rsidRPr="00966279">
              <w:rPr>
                <w:b/>
                <w:lang w:val="en-GB"/>
              </w:rPr>
              <w:t>additional</w:t>
            </w:r>
            <w:r w:rsidR="00966279">
              <w:rPr>
                <w:lang w:val="en-GB"/>
              </w:rPr>
              <w:t xml:space="preserve"> funding</w:t>
            </w:r>
            <w:r w:rsidR="00EB165E">
              <w:rPr>
                <w:lang w:val="en-GB"/>
              </w:rPr>
              <w:t xml:space="preserve"> for private partners</w:t>
            </w:r>
            <w:r w:rsidR="00966279">
              <w:rPr>
                <w:lang w:val="en-GB"/>
              </w:rPr>
              <w:t xml:space="preserve">, on top of the </w:t>
            </w:r>
            <w:r w:rsidR="00DC6F97">
              <w:rPr>
                <w:lang w:val="en-GB"/>
              </w:rPr>
              <w:t>mandatory</w:t>
            </w:r>
            <w:r w:rsidR="00966279">
              <w:rPr>
                <w:lang w:val="en-GB"/>
              </w:rPr>
              <w:t xml:space="preserve"> own </w:t>
            </w:r>
            <w:r w:rsidR="00DC6F97">
              <w:rPr>
                <w:lang w:val="en-GB"/>
              </w:rPr>
              <w:t>funding for private partners</w:t>
            </w:r>
            <w:r w:rsidR="00966279">
              <w:rPr>
                <w:lang w:val="en-GB"/>
              </w:rPr>
              <w:t xml:space="preserve"> (30%).</w:t>
            </w:r>
          </w:p>
          <w:p w14:paraId="135AE62D" w14:textId="77777777" w:rsidR="00E026A5" w:rsidRPr="005F4FF2" w:rsidRDefault="00E026A5" w:rsidP="00825C18">
            <w:pPr>
              <w:spacing w:after="0"/>
              <w:ind w:left="360"/>
              <w:rPr>
                <w:lang w:val="en-GB"/>
              </w:rPr>
            </w:pPr>
            <w:r w:rsidRPr="005F4FF2">
              <w:rPr>
                <w:lang w:val="en-GB"/>
              </w:rPr>
              <w:t>15</w:t>
            </w:r>
            <w:r w:rsidR="002D2C56">
              <w:rPr>
                <w:lang w:val="en-GB"/>
              </w:rPr>
              <w:t>-30</w:t>
            </w:r>
            <w:r w:rsidRPr="005F4FF2">
              <w:rPr>
                <w:lang w:val="en-GB"/>
              </w:rPr>
              <w:t xml:space="preserve">% </w:t>
            </w:r>
            <w:r w:rsidR="00966279">
              <w:rPr>
                <w:lang w:val="en-GB"/>
              </w:rPr>
              <w:t xml:space="preserve">additional </w:t>
            </w:r>
            <w:r>
              <w:rPr>
                <w:lang w:val="en-GB"/>
              </w:rPr>
              <w:t xml:space="preserve">private </w:t>
            </w:r>
            <w:r w:rsidRPr="005F4FF2">
              <w:rPr>
                <w:lang w:val="en-GB"/>
              </w:rPr>
              <w:t>funding</w:t>
            </w:r>
            <w:r w:rsidR="009E3136">
              <w:rPr>
                <w:lang w:val="en-GB"/>
              </w:rPr>
              <w:t xml:space="preserve"> (percentage of the total budget for the private partners)</w:t>
            </w:r>
            <w:r w:rsidRPr="005F4FF2">
              <w:rPr>
                <w:lang w:val="en-GB"/>
              </w:rPr>
              <w:t>: 5 points</w:t>
            </w:r>
          </w:p>
          <w:p w14:paraId="213D0106" w14:textId="77777777" w:rsidR="00E026A5" w:rsidRPr="00E026A5" w:rsidRDefault="00E026A5" w:rsidP="00825C18">
            <w:pPr>
              <w:spacing w:after="0"/>
              <w:ind w:left="360"/>
              <w:rPr>
                <w:lang w:val="en-GB"/>
              </w:rPr>
            </w:pPr>
            <w:r>
              <w:rPr>
                <w:lang w:val="en-GB"/>
              </w:rPr>
              <w:t xml:space="preserve">&gt; 30% </w:t>
            </w:r>
            <w:r w:rsidR="00966279">
              <w:rPr>
                <w:lang w:val="en-GB"/>
              </w:rPr>
              <w:t xml:space="preserve">additional </w:t>
            </w:r>
            <w:r>
              <w:rPr>
                <w:lang w:val="en-GB"/>
              </w:rPr>
              <w:t>private funding</w:t>
            </w:r>
            <w:r w:rsidR="00770558">
              <w:rPr>
                <w:lang w:val="en-GB"/>
              </w:rPr>
              <w:t xml:space="preserve"> (percentage of the total budget for the private partners)</w:t>
            </w:r>
            <w:r>
              <w:rPr>
                <w:lang w:val="en-GB"/>
              </w:rPr>
              <w:t>: 10 points</w:t>
            </w:r>
          </w:p>
        </w:tc>
        <w:tc>
          <w:tcPr>
            <w:tcW w:w="1472" w:type="dxa"/>
          </w:tcPr>
          <w:p w14:paraId="3C5D1141" w14:textId="77777777" w:rsidR="00E026A5" w:rsidRPr="440E69A3" w:rsidRDefault="005E35E9" w:rsidP="00E026A5">
            <w:pPr>
              <w:jc w:val="right"/>
              <w:rPr>
                <w:lang w:val="en-GB"/>
              </w:rPr>
            </w:pPr>
            <w:r>
              <w:rPr>
                <w:lang w:val="en-GB"/>
              </w:rPr>
              <w:t>1</w:t>
            </w:r>
          </w:p>
        </w:tc>
        <w:tc>
          <w:tcPr>
            <w:tcW w:w="1459" w:type="dxa"/>
          </w:tcPr>
          <w:p w14:paraId="596BCECB" w14:textId="77777777" w:rsidR="00E026A5" w:rsidRPr="440E69A3" w:rsidRDefault="005E35E9" w:rsidP="00E026A5">
            <w:pPr>
              <w:jc w:val="right"/>
              <w:rPr>
                <w:lang w:val="en-GB"/>
              </w:rPr>
            </w:pPr>
            <w:r>
              <w:rPr>
                <w:lang w:val="en-GB"/>
              </w:rPr>
              <w:t>0-10 points</w:t>
            </w:r>
          </w:p>
        </w:tc>
      </w:tr>
    </w:tbl>
    <w:p w14:paraId="63FC84DD" w14:textId="77777777" w:rsidR="00B61C6E" w:rsidRPr="00454EE2" w:rsidRDefault="00B61C6E" w:rsidP="00825C18">
      <w:pPr>
        <w:rPr>
          <w:lang w:val="en-GB"/>
        </w:rPr>
      </w:pPr>
    </w:p>
    <w:sectPr w:rsidR="00B61C6E" w:rsidRPr="00454EE2" w:rsidSect="0018551C">
      <w:pgSz w:w="11900" w:h="16840"/>
      <w:pgMar w:top="224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2D8BB" w14:textId="77777777" w:rsidR="00A85FB7" w:rsidRDefault="00A85FB7" w:rsidP="00AF5892">
      <w:r>
        <w:separator/>
      </w:r>
    </w:p>
  </w:endnote>
  <w:endnote w:type="continuationSeparator" w:id="0">
    <w:p w14:paraId="4451A9C9" w14:textId="77777777" w:rsidR="00A85FB7" w:rsidRDefault="00A85FB7" w:rsidP="00AF5892">
      <w:r>
        <w:continuationSeparator/>
      </w:r>
    </w:p>
  </w:endnote>
  <w:endnote w:type="continuationNotice" w:id="1">
    <w:p w14:paraId="71DF51D1" w14:textId="77777777" w:rsidR="00A85FB7" w:rsidRDefault="00A85FB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1B83" w14:textId="77777777" w:rsidR="00A85FB7" w:rsidRDefault="00A85FB7" w:rsidP="008B0CE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855EBD" w14:textId="77777777" w:rsidR="00A85FB7" w:rsidRDefault="00A85FB7" w:rsidP="00CD0D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B4B9C" w14:textId="56F720F4" w:rsidR="00A85FB7" w:rsidRPr="00211866" w:rsidRDefault="00A85FB7" w:rsidP="440E69A3">
    <w:pPr>
      <w:pStyle w:val="Footer"/>
      <w:tabs>
        <w:tab w:val="clear" w:pos="4536"/>
        <w:tab w:val="clear" w:pos="9072"/>
        <w:tab w:val="right" w:pos="9066"/>
      </w:tabs>
      <w:rPr>
        <w:lang w:val="en-US"/>
      </w:rPr>
    </w:pPr>
    <w:r>
      <w:rPr>
        <w:noProof/>
        <w:lang w:val="en-US"/>
      </w:rPr>
      <w:fldChar w:fldCharType="begin"/>
    </w:r>
    <w:r>
      <w:rPr>
        <w:noProof/>
        <w:lang w:val="en-US"/>
      </w:rPr>
      <w:instrText xml:space="preserve"> FILENAME  \* FirstCap  \* MERGEFORMAT </w:instrText>
    </w:r>
    <w:r>
      <w:rPr>
        <w:noProof/>
        <w:lang w:val="en-US"/>
      </w:rPr>
      <w:fldChar w:fldCharType="separate"/>
    </w:r>
    <w:r>
      <w:rPr>
        <w:noProof/>
        <w:lang w:val="en-US"/>
      </w:rPr>
      <w:t>IoF20</w:t>
    </w:r>
    <w:r w:rsidR="00C37F05">
      <w:rPr>
        <w:noProof/>
        <w:lang w:val="en-US"/>
      </w:rPr>
      <w:t xml:space="preserve">20-OpenCall </w:t>
    </w:r>
    <w:r w:rsidR="005F3E9F">
      <w:rPr>
        <w:noProof/>
        <w:lang w:val="en-US"/>
      </w:rPr>
      <w:t>June 4</w:t>
    </w:r>
    <w:r>
      <w:rPr>
        <w:noProof/>
        <w:lang w:val="en-US"/>
      </w:rPr>
      <w:t xml:space="preserve"> 2018.docx</w:t>
    </w:r>
    <w:r>
      <w:rPr>
        <w:noProof/>
        <w:lang w:val="en-US"/>
      </w:rPr>
      <w:fldChar w:fldCharType="end"/>
    </w:r>
    <w:r w:rsidRPr="00211866">
      <w:rPr>
        <w:noProof/>
        <w:lang w:val="en-US"/>
      </w:rPr>
      <w:tab/>
    </w:r>
    <w:r w:rsidRPr="440E69A3">
      <w:rPr>
        <w:b/>
        <w:bCs/>
        <w:noProof/>
        <w:lang w:val="en-US"/>
      </w:rPr>
      <w:fldChar w:fldCharType="begin"/>
    </w:r>
    <w:r w:rsidRPr="00211866">
      <w:rPr>
        <w:b/>
        <w:szCs w:val="16"/>
        <w:lang w:val="en-US"/>
      </w:rPr>
      <w:instrText xml:space="preserve"> PAGE </w:instrText>
    </w:r>
    <w:r w:rsidRPr="440E69A3">
      <w:rPr>
        <w:b/>
        <w:szCs w:val="16"/>
      </w:rPr>
      <w:fldChar w:fldCharType="separate"/>
    </w:r>
    <w:r w:rsidR="009A7120">
      <w:rPr>
        <w:b/>
        <w:noProof/>
        <w:szCs w:val="16"/>
        <w:lang w:val="en-US"/>
      </w:rPr>
      <w:t>3</w:t>
    </w:r>
    <w:r w:rsidRPr="440E69A3">
      <w:rPr>
        <w:b/>
        <w:bCs/>
        <w:noProof/>
        <w:lang w:val="en-US"/>
      </w:rPr>
      <w:fldChar w:fldCharType="end"/>
    </w:r>
    <w:r w:rsidRPr="440E69A3">
      <w:rPr>
        <w:b/>
        <w:bCs/>
        <w:color w:val="909090" w:themeColor="text1" w:themeTint="99"/>
        <w:lang w:val="en-US"/>
      </w:rPr>
      <w:t xml:space="preserve"> </w:t>
    </w:r>
    <w:r w:rsidRPr="00211866">
      <w:rPr>
        <w:color w:val="909090" w:themeColor="text1" w:themeTint="99"/>
        <w:lang w:val="en-US"/>
      </w:rPr>
      <w:t xml:space="preserve">/ </w:t>
    </w:r>
    <w:r w:rsidRPr="440E69A3">
      <w:rPr>
        <w:noProof/>
        <w:color w:val="909090" w:themeColor="text1" w:themeTint="99"/>
        <w:lang w:val="en-US"/>
      </w:rPr>
      <w:fldChar w:fldCharType="begin"/>
    </w:r>
    <w:r w:rsidRPr="00211866">
      <w:rPr>
        <w:color w:val="909090" w:themeColor="text1" w:themeTint="99"/>
        <w:lang w:val="en-US"/>
      </w:rPr>
      <w:instrText xml:space="preserve"> NUMPAGES </w:instrText>
    </w:r>
    <w:r w:rsidRPr="440E69A3">
      <w:rPr>
        <w:color w:val="909090" w:themeColor="text1" w:themeTint="99"/>
      </w:rPr>
      <w:fldChar w:fldCharType="separate"/>
    </w:r>
    <w:r w:rsidR="009A7120">
      <w:rPr>
        <w:noProof/>
        <w:color w:val="909090" w:themeColor="text1" w:themeTint="99"/>
        <w:lang w:val="en-US"/>
      </w:rPr>
      <w:t>24</w:t>
    </w:r>
    <w:r w:rsidRPr="440E69A3">
      <w:rPr>
        <w:noProof/>
        <w:color w:val="909090" w:themeColor="text1" w:themeTint="99"/>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5181" w14:textId="77777777" w:rsidR="00A85FB7" w:rsidRPr="0054322C" w:rsidRDefault="00A85FB7" w:rsidP="440E69A3">
    <w:pPr>
      <w:pStyle w:val="Footer"/>
      <w:rPr>
        <w:lang w:val="en-US"/>
      </w:rPr>
    </w:pPr>
    <w:r>
      <w:rPr>
        <w:noProof/>
        <w:lang w:eastAsia="nl-NL"/>
      </w:rPr>
      <w:drawing>
        <wp:anchor distT="0" distB="0" distL="114300" distR="114300" simplePos="0" relativeHeight="251658240" behindDoc="0" locked="0" layoutInCell="1" allowOverlap="0" wp14:anchorId="768A2752" wp14:editId="2D136DA6">
          <wp:simplePos x="0" y="0"/>
          <wp:positionH relativeFrom="column">
            <wp:posOffset>3810</wp:posOffset>
          </wp:positionH>
          <wp:positionV relativeFrom="margin">
            <wp:posOffset>7021195</wp:posOffset>
          </wp:positionV>
          <wp:extent cx="432000" cy="288000"/>
          <wp:effectExtent l="0" t="0" r="0" b="0"/>
          <wp:wrapSquare wrapText="bothSides"/>
          <wp:docPr id="9" name="Afbeelding 7" descr="../../Beelden/Aangeleverd/flag_yellow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en/Aangeleverd/flag_yellow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000" cy="28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22C">
      <w:rPr>
        <w:lang w:val="en-US"/>
      </w:rPr>
      <w:t xml:space="preserve">IoF2020 is funded by the Horizon 2020 Framework Programme of the European Union. </w:t>
    </w:r>
    <w:r w:rsidRPr="0054322C">
      <w:rPr>
        <w:lang w:val="en-US"/>
      </w:rPr>
      <w:br/>
      <w:t xml:space="preserve">Grant Agreement no. 731884. </w:t>
    </w:r>
    <w:r w:rsidRPr="003F3941">
      <w:rPr>
        <w:lang w:val="en-US"/>
      </w:rPr>
      <w:t xml:space="preserve">Visit </w:t>
    </w:r>
    <w:hyperlink r:id="rId2" w:history="1">
      <w:r w:rsidRPr="003F3941">
        <w:rPr>
          <w:rStyle w:val="Hyperlink"/>
          <w:color w:val="464646" w:themeColor="text1"/>
          <w:lang w:val="pt-BR"/>
        </w:rPr>
        <w:t>iof2020.eu</w:t>
      </w:r>
    </w:hyperlink>
    <w:r w:rsidRPr="003F3941">
      <w:rPr>
        <w:lang w:val="en-US"/>
      </w:rPr>
      <w:t xml:space="preserve"> for more </w:t>
    </w:r>
    <w:r w:rsidRPr="0054322C">
      <w:rPr>
        <w:lang w:val="en-US"/>
      </w:rPr>
      <w:t>information about the project.</w:t>
    </w:r>
    <w:r w:rsidRPr="00DB6426">
      <w:rPr>
        <w:noProof/>
        <w:lang w:val="en-US"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1FEC6" w14:textId="77777777" w:rsidR="00A85FB7" w:rsidRDefault="00A85FB7" w:rsidP="00AF5892">
      <w:r>
        <w:separator/>
      </w:r>
    </w:p>
  </w:footnote>
  <w:footnote w:type="continuationSeparator" w:id="0">
    <w:p w14:paraId="278A6E4B" w14:textId="77777777" w:rsidR="00A85FB7" w:rsidRDefault="00A85FB7" w:rsidP="00AF5892">
      <w:r>
        <w:continuationSeparator/>
      </w:r>
    </w:p>
  </w:footnote>
  <w:footnote w:type="continuationNotice" w:id="1">
    <w:p w14:paraId="5F64E474" w14:textId="77777777" w:rsidR="00A85FB7" w:rsidRDefault="00A85FB7">
      <w:pPr>
        <w:spacing w:before="0" w:after="0"/>
      </w:pPr>
    </w:p>
  </w:footnote>
  <w:footnote w:id="2">
    <w:p w14:paraId="4C5E157C" w14:textId="0C58C1DA" w:rsidR="00A85FB7" w:rsidRPr="002E2562" w:rsidRDefault="00A85FB7" w:rsidP="003F76E7">
      <w:pPr>
        <w:pStyle w:val="FootnoteText"/>
        <w:rPr>
          <w:lang w:val="en-GB"/>
        </w:rPr>
      </w:pPr>
      <w:r>
        <w:rPr>
          <w:rStyle w:val="FootnoteReference"/>
        </w:rPr>
        <w:footnoteRef/>
      </w:r>
      <w:r w:rsidRPr="002E2562">
        <w:rPr>
          <w:lang w:val="en-GB"/>
        </w:rPr>
        <w:tab/>
      </w:r>
      <w:r>
        <w:rPr>
          <w:lang w:val="en-GB"/>
        </w:rPr>
        <w:t>The multi-actor approach</w:t>
      </w:r>
      <w:r w:rsidRPr="00695F29">
        <w:rPr>
          <w:lang w:val="en-GB"/>
        </w:rPr>
        <w:t xml:space="preserve"> means that projects must focus on real problems or opportunities that farmers or others who need a solution (“end-users”) are facing. It also means that partners with complementary types of knowledge – scientific, practical and other – must join forces in the project activities from beginning to end. As a result, projects </w:t>
      </w:r>
      <w:r>
        <w:rPr>
          <w:lang w:val="en-GB"/>
        </w:rPr>
        <w:t xml:space="preserve">with this approach </w:t>
      </w:r>
      <w:r w:rsidRPr="00695F29">
        <w:rPr>
          <w:lang w:val="en-GB"/>
        </w:rPr>
        <w:t>are able to develop innovative solutions which are more ready to be applied in practice and cover real needs.</w:t>
      </w:r>
      <w:r>
        <w:rPr>
          <w:lang w:val="en-GB"/>
        </w:rPr>
        <w:t xml:space="preserve"> </w:t>
      </w:r>
      <w:r w:rsidRPr="002E2562">
        <w:rPr>
          <w:szCs w:val="16"/>
          <w:lang w:val="en-GB"/>
        </w:rPr>
        <w:t xml:space="preserve">See also </w:t>
      </w:r>
      <w:hyperlink r:id="rId1" w:history="1">
        <w:r w:rsidRPr="003E7108">
          <w:rPr>
            <w:rStyle w:val="Hyperlink"/>
            <w:szCs w:val="16"/>
            <w:lang w:val="en-GB"/>
          </w:rPr>
          <w:t>https://ec.europa.eu/eip/agriculture/en/publications/eip-agri-brochure-horizon-2020-multi-actor</w:t>
        </w:r>
      </w:hyperlink>
      <w:r>
        <w:rPr>
          <w:szCs w:val="16"/>
          <w:lang w:val="en-GB"/>
        </w:rPr>
        <w:t xml:space="preserve"> </w:t>
      </w:r>
    </w:p>
  </w:footnote>
  <w:footnote w:id="3">
    <w:p w14:paraId="506B0CE3" w14:textId="77777777" w:rsidR="00A85FB7" w:rsidRPr="00476E7A" w:rsidRDefault="00A85FB7" w:rsidP="440E69A3">
      <w:pPr>
        <w:pStyle w:val="FootnoteText"/>
        <w:rPr>
          <w:lang w:val="en-GB"/>
        </w:rPr>
      </w:pPr>
      <w:r w:rsidRPr="00262959">
        <w:rPr>
          <w:rStyle w:val="FootnoteReference"/>
        </w:rPr>
        <w:footnoteRef/>
      </w:r>
      <w:r w:rsidRPr="00262959">
        <w:rPr>
          <w:lang w:val="en-GB"/>
        </w:rPr>
        <w:t xml:space="preserve"> </w:t>
      </w:r>
      <w:r>
        <w:rPr>
          <w:lang w:val="en-GB"/>
        </w:rPr>
        <w:tab/>
      </w:r>
      <w:r w:rsidRPr="00262959">
        <w:rPr>
          <w:lang w:val="en-GB"/>
        </w:rPr>
        <w:t>see Article 7 of the Horizon 2020 Regulation (</w:t>
      </w:r>
      <w:hyperlink r:id="rId2" w:history="1">
        <w:r w:rsidRPr="00262959">
          <w:rPr>
            <w:rStyle w:val="Hyperlink"/>
            <w:lang w:val="en-GB"/>
          </w:rPr>
          <w:t>http://ec.europa.eu/research/participants/data/ref/h2020/grants_manual/hi/3cpart/h2020-hi-list-ac_en.pdf</w:t>
        </w:r>
      </w:hyperlink>
      <w:r w:rsidRPr="00262959">
        <w:rPr>
          <w:lang w:val="en-GB"/>
        </w:rPr>
        <w:t>). Legal entities from these countries can participate under the same conditions as legal entities from the EU Member States. Association to Horizon 2020 takes place through the conclusion of an International Agreement.</w:t>
      </w:r>
    </w:p>
  </w:footnote>
  <w:footnote w:id="4">
    <w:p w14:paraId="35DA4E50" w14:textId="77777777" w:rsidR="00A85FB7" w:rsidRPr="00AA141D" w:rsidRDefault="00A85FB7">
      <w:pPr>
        <w:pStyle w:val="FootnoteText"/>
        <w:rPr>
          <w:lang w:val="en-GB"/>
        </w:rPr>
      </w:pPr>
      <w:r>
        <w:rPr>
          <w:rStyle w:val="FootnoteReference"/>
        </w:rPr>
        <w:footnoteRef/>
      </w:r>
      <w:r w:rsidRPr="00AA141D">
        <w:rPr>
          <w:lang w:val="en-GB"/>
        </w:rPr>
        <w:t xml:space="preserve"> </w:t>
      </w:r>
      <w:r>
        <w:rPr>
          <w:lang w:val="en-GB"/>
        </w:rPr>
        <w:tab/>
      </w:r>
      <w:r w:rsidRPr="00AA141D">
        <w:rPr>
          <w:lang w:val="en-GB"/>
        </w:rPr>
        <w:t>The open call should be in line with the scope of the topic published in the H2020 2016-2017 Work Programme. Therefore</w:t>
      </w:r>
      <w:r>
        <w:rPr>
          <w:lang w:val="en-GB"/>
        </w:rPr>
        <w:t>,</w:t>
      </w:r>
      <w:r w:rsidRPr="00AA141D">
        <w:rPr>
          <w:lang w:val="en-GB"/>
        </w:rPr>
        <w:t xml:space="preserve"> it should be according to agriculture and the agri-fo</w:t>
      </w:r>
      <w:r>
        <w:rPr>
          <w:lang w:val="en-GB"/>
        </w:rPr>
        <w:t xml:space="preserve">od value chain. </w:t>
      </w:r>
      <w:r w:rsidRPr="00AA141D">
        <w:rPr>
          <w:lang w:val="en-GB"/>
        </w:rPr>
        <w:t>Forestry, aquaculture, fisheries and non-food crops are not part of the scope of the t</w:t>
      </w:r>
      <w:r>
        <w:rPr>
          <w:lang w:val="en-GB"/>
        </w:rPr>
        <w:t>opic</w:t>
      </w:r>
      <w:r w:rsidRPr="00AA141D">
        <w:rPr>
          <w:lang w:val="en-GB"/>
        </w:rPr>
        <w:t>.</w:t>
      </w:r>
    </w:p>
  </w:footnote>
  <w:footnote w:id="5">
    <w:p w14:paraId="12FB117B" w14:textId="77777777" w:rsidR="00A85FB7" w:rsidRPr="002E2562" w:rsidRDefault="00A85FB7" w:rsidP="00BE0548">
      <w:pPr>
        <w:pStyle w:val="FootnoteText"/>
        <w:rPr>
          <w:lang w:val="en-GB"/>
        </w:rPr>
      </w:pPr>
      <w:r>
        <w:rPr>
          <w:rStyle w:val="FootnoteReference"/>
        </w:rPr>
        <w:footnoteRef/>
      </w:r>
      <w:r w:rsidRPr="002E2562">
        <w:rPr>
          <w:lang w:val="en-GB"/>
        </w:rPr>
        <w:t xml:space="preserve"> </w:t>
      </w:r>
      <w:r w:rsidRPr="002E2562">
        <w:rPr>
          <w:lang w:val="en-GB"/>
        </w:rPr>
        <w:tab/>
        <w:t xml:space="preserve">See also </w:t>
      </w:r>
      <w:hyperlink r:id="rId3" w:history="1">
        <w:r w:rsidRPr="002E2562">
          <w:rPr>
            <w:rStyle w:val="Hyperlink"/>
            <w:lang w:val="en-GB"/>
          </w:rPr>
          <w:t>http://ec.europa.eu/growth/smes/business-friendly-environment/sme-definition_de</w:t>
        </w:r>
      </w:hyperlink>
    </w:p>
  </w:footnote>
  <w:footnote w:id="6">
    <w:p w14:paraId="44DA5AEC" w14:textId="5122FE76" w:rsidR="00A85FB7" w:rsidRPr="00E509DC" w:rsidRDefault="00A85FB7">
      <w:pPr>
        <w:pStyle w:val="FootnoteText"/>
        <w:rPr>
          <w:lang w:val="en-GB"/>
        </w:rPr>
      </w:pPr>
      <w:r>
        <w:rPr>
          <w:rStyle w:val="FootnoteReference"/>
        </w:rPr>
        <w:footnoteRef/>
      </w:r>
      <w:r w:rsidRPr="00E509DC">
        <w:rPr>
          <w:lang w:val="en-GB"/>
        </w:rPr>
        <w:t xml:space="preserve"> </w:t>
      </w:r>
      <w:r w:rsidRPr="00E509DC">
        <w:rPr>
          <w:lang w:val="en-GB"/>
        </w:rPr>
        <w:tab/>
      </w:r>
      <w:hyperlink r:id="rId4" w:history="1">
        <w:r w:rsidRPr="006016E7">
          <w:rPr>
            <w:rStyle w:val="Hyperlink"/>
            <w:lang w:val="en-GB"/>
          </w:rPr>
          <w:t>http://ec.europa.eu/research/bitlys/h2020_associated_countries.html</w:t>
        </w:r>
      </w:hyperlink>
      <w:r>
        <w:rPr>
          <w:lang w:val="en-GB"/>
        </w:rPr>
        <w:t xml:space="preserve"> </w:t>
      </w:r>
    </w:p>
  </w:footnote>
  <w:footnote w:id="7">
    <w:p w14:paraId="07DEF544" w14:textId="77777777" w:rsidR="00A85FB7" w:rsidRPr="00C1582E" w:rsidRDefault="00A85FB7" w:rsidP="440E69A3">
      <w:pPr>
        <w:pStyle w:val="FootnoteText"/>
        <w:rPr>
          <w:lang w:val="en-GB"/>
        </w:rPr>
      </w:pPr>
      <w:r>
        <w:rPr>
          <w:rStyle w:val="FootnoteReference"/>
        </w:rPr>
        <w:footnoteRef/>
      </w:r>
      <w:r w:rsidRPr="003C407F">
        <w:rPr>
          <w:lang w:val="en-GB"/>
        </w:rPr>
        <w:t xml:space="preserve"> </w:t>
      </w:r>
      <w:r>
        <w:rPr>
          <w:lang w:val="en-GB"/>
        </w:rPr>
        <w:tab/>
        <w:t xml:space="preserve">Countries with test beds are indicated in bold. Other countries refer to the partners involved. See </w:t>
      </w:r>
      <w:hyperlink r:id="rId5" w:history="1">
        <w:r w:rsidRPr="002A3B4F">
          <w:rPr>
            <w:rStyle w:val="Hyperlink"/>
            <w:lang w:val="en-GB"/>
          </w:rPr>
          <w:t>http://ec.europa.eu/eurostat/statistics-explained/index.php/Glossary:Country_codes</w:t>
        </w:r>
      </w:hyperlink>
      <w:r>
        <w:rPr>
          <w:lang w:val="en-GB"/>
        </w:rPr>
        <w:t xml:space="preserve"> </w:t>
      </w:r>
    </w:p>
  </w:footnote>
  <w:footnote w:id="8">
    <w:p w14:paraId="0F73E9E7" w14:textId="77777777" w:rsidR="00A85FB7" w:rsidRPr="00DA532F" w:rsidRDefault="00A85FB7">
      <w:pPr>
        <w:pStyle w:val="FootnoteText"/>
        <w:rPr>
          <w:lang w:val="en-GB"/>
        </w:rPr>
      </w:pPr>
      <w:r>
        <w:rPr>
          <w:rStyle w:val="FootnoteReference"/>
        </w:rPr>
        <w:footnoteRef/>
      </w:r>
      <w:r w:rsidRPr="00DA532F">
        <w:rPr>
          <w:lang w:val="en-GB"/>
        </w:rPr>
        <w:t xml:space="preserve"> </w:t>
      </w:r>
      <w:r>
        <w:rPr>
          <w:lang w:val="en-GB"/>
        </w:rPr>
        <w:t>Initiatives like FIWARE, OpenIoT, Kaa, Nimbits, Eclipse IoT, Open Remote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724DC" w14:textId="77777777" w:rsidR="00A85FB7" w:rsidRDefault="00A85FB7">
    <w:pPr>
      <w:pStyle w:val="Header"/>
    </w:pPr>
    <w:r>
      <w:rPr>
        <w:noProof/>
        <w:lang w:eastAsia="nl-NL"/>
      </w:rPr>
      <w:drawing>
        <wp:inline distT="0" distB="0" distL="0" distR="0" wp14:anchorId="631083AE" wp14:editId="0B988DF2">
          <wp:extent cx="788035" cy="431702"/>
          <wp:effectExtent l="0" t="0" r="0" b="635"/>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OF2020%20Logo_Payoff_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4956" cy="4354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F1E1B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A84EC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7348D0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39C77D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02851E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DB4237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FA5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DBC37D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4A008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65848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7A09F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89566F"/>
    <w:multiLevelType w:val="multilevel"/>
    <w:tmpl w:val="D2463D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9425392"/>
    <w:multiLevelType w:val="hybridMultilevel"/>
    <w:tmpl w:val="C0A6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26114"/>
    <w:multiLevelType w:val="hybridMultilevel"/>
    <w:tmpl w:val="C99878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DDA1AEC"/>
    <w:multiLevelType w:val="hybridMultilevel"/>
    <w:tmpl w:val="5B5E9C52"/>
    <w:lvl w:ilvl="0" w:tplc="8E68A06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E4A5F79"/>
    <w:multiLevelType w:val="multilevel"/>
    <w:tmpl w:val="A52AD2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905D5D"/>
    <w:multiLevelType w:val="hybridMultilevel"/>
    <w:tmpl w:val="1D68875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6CC4DF6"/>
    <w:multiLevelType w:val="multilevel"/>
    <w:tmpl w:val="000296FE"/>
    <w:lvl w:ilvl="0">
      <w:start w:val="1"/>
      <w:numFmt w:val="decimal"/>
      <w:lvlText w:val="%1"/>
      <w:lvlJc w:val="left"/>
      <w:pPr>
        <w:ind w:left="567" w:hanging="567"/>
      </w:pPr>
      <w:rPr>
        <w:rFonts w:ascii="Arial" w:hAnsi="Arial" w:hint="default"/>
        <w:b/>
        <w:i w:val="0"/>
        <w:color w:val="auto"/>
        <w:sz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CC5699F"/>
    <w:multiLevelType w:val="hybridMultilevel"/>
    <w:tmpl w:val="2E90A304"/>
    <w:lvl w:ilvl="0" w:tplc="EA1CE394">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E567D16"/>
    <w:multiLevelType w:val="multilevel"/>
    <w:tmpl w:val="0FFA4FF0"/>
    <w:lvl w:ilvl="0">
      <w:start w:val="1"/>
      <w:numFmt w:val="decimal"/>
      <w:lvlText w:val="%1."/>
      <w:lvlJc w:val="left"/>
      <w:pPr>
        <w:ind w:left="360" w:hanging="360"/>
      </w:pPr>
      <w:rPr>
        <w:rFonts w:hint="default"/>
        <w:b/>
        <w:i w:val="0"/>
        <w:color w:val="auto"/>
        <w:sz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E7E701C"/>
    <w:multiLevelType w:val="hybridMultilevel"/>
    <w:tmpl w:val="210E70B0"/>
    <w:lvl w:ilvl="0" w:tplc="ED54776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1671922"/>
    <w:multiLevelType w:val="multilevel"/>
    <w:tmpl w:val="C17A13A4"/>
    <w:lvl w:ilvl="0">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2DA4724"/>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87B413A"/>
    <w:multiLevelType w:val="hybridMultilevel"/>
    <w:tmpl w:val="10420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0212294"/>
    <w:multiLevelType w:val="hybridMultilevel"/>
    <w:tmpl w:val="A694078E"/>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1554D44"/>
    <w:multiLevelType w:val="hybridMultilevel"/>
    <w:tmpl w:val="24BEEB7C"/>
    <w:lvl w:ilvl="0" w:tplc="34669D18">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29671FB"/>
    <w:multiLevelType w:val="hybridMultilevel"/>
    <w:tmpl w:val="2DB62A76"/>
    <w:lvl w:ilvl="0" w:tplc="794864D0">
      <w:start w:val="1"/>
      <w:numFmt w:val="bullet"/>
      <w:pStyle w:val="Bullet2"/>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5B93C50"/>
    <w:multiLevelType w:val="multilevel"/>
    <w:tmpl w:val="D2463D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03A4076"/>
    <w:multiLevelType w:val="hybridMultilevel"/>
    <w:tmpl w:val="5A168D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7472A8B"/>
    <w:multiLevelType w:val="hybridMultilevel"/>
    <w:tmpl w:val="F29E48E0"/>
    <w:lvl w:ilvl="0" w:tplc="C5004D42">
      <w:start w:val="1"/>
      <w:numFmt w:val="bullet"/>
      <w:pStyle w:val="ListParagraph"/>
      <w:lvlText w:val=""/>
      <w:lvlJc w:val="left"/>
      <w:pPr>
        <w:ind w:left="1440" w:hanging="360"/>
      </w:pPr>
      <w:rPr>
        <w:rFonts w:ascii="Symbol" w:hAnsi="Symbol" w:hint="default"/>
      </w:rPr>
    </w:lvl>
    <w:lvl w:ilvl="1" w:tplc="24843890">
      <w:start w:val="1"/>
      <w:numFmt w:val="bullet"/>
      <w:pStyle w:val="Bullet1"/>
      <w:lvlText w:val=""/>
      <w:lvlJc w:val="left"/>
      <w:pPr>
        <w:ind w:left="2160" w:hanging="360"/>
      </w:pPr>
      <w:rPr>
        <w:rFonts w:ascii="Symbol" w:hAnsi="Symbol" w:hint="default"/>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15:restartNumberingAfterBreak="0">
    <w:nsid w:val="4C0E74F3"/>
    <w:multiLevelType w:val="hybridMultilevel"/>
    <w:tmpl w:val="79EA646A"/>
    <w:lvl w:ilvl="0" w:tplc="AD7875A4">
      <w:start w:val="1"/>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EAE2585"/>
    <w:multiLevelType w:val="multilevel"/>
    <w:tmpl w:val="187A673A"/>
    <w:lvl w:ilvl="0">
      <w:start w:val="1"/>
      <w:numFmt w:val="decimal"/>
      <w:pStyle w:val="Heading1"/>
      <w:lvlText w:val="%1."/>
      <w:lvlJc w:val="left"/>
      <w:pPr>
        <w:ind w:left="284" w:hanging="284"/>
      </w:pPr>
      <w:rPr>
        <w:rFonts w:ascii="Arial" w:hAnsi="Arial" w:hint="default"/>
        <w:b/>
        <w:i w:val="0"/>
        <w:color w:val="auto"/>
        <w:sz w:val="36"/>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BC6AC5"/>
    <w:multiLevelType w:val="multilevel"/>
    <w:tmpl w:val="C0029E78"/>
    <w:lvl w:ilvl="0">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50F5F09"/>
    <w:multiLevelType w:val="hybridMultilevel"/>
    <w:tmpl w:val="CB3A07AA"/>
    <w:lvl w:ilvl="0" w:tplc="85D81F9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421D3B"/>
    <w:multiLevelType w:val="multilevel"/>
    <w:tmpl w:val="A20C559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15:restartNumberingAfterBreak="0">
    <w:nsid w:val="5851710E"/>
    <w:multiLevelType w:val="hybridMultilevel"/>
    <w:tmpl w:val="8888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C149BF"/>
    <w:multiLevelType w:val="hybridMultilevel"/>
    <w:tmpl w:val="8FF65AF0"/>
    <w:lvl w:ilvl="0" w:tplc="7C44E19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2CC097E"/>
    <w:multiLevelType w:val="hybridMultilevel"/>
    <w:tmpl w:val="E86A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0E7520"/>
    <w:multiLevelType w:val="hybridMultilevel"/>
    <w:tmpl w:val="B6683DA6"/>
    <w:lvl w:ilvl="0" w:tplc="6D7470EE">
      <w:start w:val="1"/>
      <w:numFmt w:val="decimal"/>
      <w:lvlText w:val="%1)"/>
      <w:lvlJc w:val="left"/>
      <w:pPr>
        <w:ind w:left="720" w:hanging="360"/>
      </w:pPr>
      <w:rPr>
        <w:rFonts w:hint="default"/>
        <w:lang w:val="nl-NL"/>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F0F5010"/>
    <w:multiLevelType w:val="hybridMultilevel"/>
    <w:tmpl w:val="9D6E0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0C334C"/>
    <w:multiLevelType w:val="hybridMultilevel"/>
    <w:tmpl w:val="AF80339E"/>
    <w:lvl w:ilvl="0" w:tplc="82E64CE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1" w15:restartNumberingAfterBreak="0">
    <w:nsid w:val="7C3B41C5"/>
    <w:multiLevelType w:val="hybridMultilevel"/>
    <w:tmpl w:val="8B98D884"/>
    <w:lvl w:ilvl="0" w:tplc="D16E21DE">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9"/>
  </w:num>
  <w:num w:numId="13">
    <w:abstractNumId w:val="34"/>
  </w:num>
  <w:num w:numId="14">
    <w:abstractNumId w:val="19"/>
  </w:num>
  <w:num w:numId="15">
    <w:abstractNumId w:val="22"/>
  </w:num>
  <w:num w:numId="16">
    <w:abstractNumId w:val="17"/>
  </w:num>
  <w:num w:numId="17">
    <w:abstractNumId w:val="31"/>
  </w:num>
  <w:num w:numId="18">
    <w:abstractNumId w:val="15"/>
  </w:num>
  <w:num w:numId="19">
    <w:abstractNumId w:val="38"/>
  </w:num>
  <w:num w:numId="20">
    <w:abstractNumId w:val="16"/>
  </w:num>
  <w:num w:numId="21">
    <w:abstractNumId w:val="30"/>
  </w:num>
  <w:num w:numId="22">
    <w:abstractNumId w:val="36"/>
  </w:num>
  <w:num w:numId="23">
    <w:abstractNumId w:val="20"/>
  </w:num>
  <w:num w:numId="24">
    <w:abstractNumId w:val="26"/>
  </w:num>
  <w:num w:numId="25">
    <w:abstractNumId w:val="35"/>
  </w:num>
  <w:num w:numId="26">
    <w:abstractNumId w:val="12"/>
  </w:num>
  <w:num w:numId="27">
    <w:abstractNumId w:val="26"/>
  </w:num>
  <w:num w:numId="28">
    <w:abstractNumId w:val="24"/>
  </w:num>
  <w:num w:numId="29">
    <w:abstractNumId w:val="37"/>
  </w:num>
  <w:num w:numId="30">
    <w:abstractNumId w:val="41"/>
  </w:num>
  <w:num w:numId="31">
    <w:abstractNumId w:val="14"/>
  </w:num>
  <w:num w:numId="32">
    <w:abstractNumId w:val="11"/>
  </w:num>
  <w:num w:numId="33">
    <w:abstractNumId w:val="23"/>
  </w:num>
  <w:num w:numId="34">
    <w:abstractNumId w:val="25"/>
  </w:num>
  <w:num w:numId="35">
    <w:abstractNumId w:val="13"/>
  </w:num>
  <w:num w:numId="36">
    <w:abstractNumId w:val="18"/>
  </w:num>
  <w:num w:numId="37">
    <w:abstractNumId w:val="27"/>
  </w:num>
  <w:num w:numId="38">
    <w:abstractNumId w:val="32"/>
  </w:num>
  <w:num w:numId="39">
    <w:abstractNumId w:val="21"/>
  </w:num>
  <w:num w:numId="40">
    <w:abstractNumId w:val="28"/>
  </w:num>
  <w:num w:numId="41">
    <w:abstractNumId w:val="29"/>
  </w:num>
  <w:num w:numId="42">
    <w:abstractNumId w:val="39"/>
  </w:num>
  <w:num w:numId="43">
    <w:abstractNumId w:val="33"/>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nl-NL" w:vendorID="64" w:dllVersion="0" w:nlCheck="1" w:checkStyle="0"/>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activeWritingStyle w:appName="MSWord" w:lang="en-US" w:vendorID="64" w:dllVersion="6" w:nlCheck="1" w:checkStyle="1"/>
  <w:activeWritingStyle w:appName="MSWord" w:lang="nl-NL" w:vendorID="64" w:dllVersion="6" w:nlCheck="1" w:checkStyle="1"/>
  <w:activeWritingStyle w:appName="MSWord" w:lang="en-GB" w:vendorID="64" w:dllVersion="131078" w:nlCheck="1" w:checkStyle="1"/>
  <w:activeWritingStyle w:appName="MSWord" w:lang="en-US"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460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6D"/>
    <w:rsid w:val="00007878"/>
    <w:rsid w:val="00007B43"/>
    <w:rsid w:val="000145C7"/>
    <w:rsid w:val="0002334A"/>
    <w:rsid w:val="00025F7C"/>
    <w:rsid w:val="000320BE"/>
    <w:rsid w:val="00037DC3"/>
    <w:rsid w:val="000413A7"/>
    <w:rsid w:val="00053914"/>
    <w:rsid w:val="000543A8"/>
    <w:rsid w:val="00056740"/>
    <w:rsid w:val="00060D56"/>
    <w:rsid w:val="000631F0"/>
    <w:rsid w:val="00064D05"/>
    <w:rsid w:val="00066470"/>
    <w:rsid w:val="00066AD4"/>
    <w:rsid w:val="00073DC9"/>
    <w:rsid w:val="00074D1B"/>
    <w:rsid w:val="0007586D"/>
    <w:rsid w:val="00086C1C"/>
    <w:rsid w:val="000A4FA1"/>
    <w:rsid w:val="000A5296"/>
    <w:rsid w:val="000B0631"/>
    <w:rsid w:val="000C28CE"/>
    <w:rsid w:val="000E1B1B"/>
    <w:rsid w:val="000F3E4C"/>
    <w:rsid w:val="000F652A"/>
    <w:rsid w:val="00110743"/>
    <w:rsid w:val="0011079D"/>
    <w:rsid w:val="00121BDA"/>
    <w:rsid w:val="001268EB"/>
    <w:rsid w:val="001270BA"/>
    <w:rsid w:val="00131DF4"/>
    <w:rsid w:val="0013485F"/>
    <w:rsid w:val="00140862"/>
    <w:rsid w:val="001430F7"/>
    <w:rsid w:val="00152E5F"/>
    <w:rsid w:val="00160B37"/>
    <w:rsid w:val="00160C3D"/>
    <w:rsid w:val="00163324"/>
    <w:rsid w:val="00164111"/>
    <w:rsid w:val="0017276D"/>
    <w:rsid w:val="00172ABA"/>
    <w:rsid w:val="0017315D"/>
    <w:rsid w:val="00183386"/>
    <w:rsid w:val="0018551C"/>
    <w:rsid w:val="001933F8"/>
    <w:rsid w:val="0019568F"/>
    <w:rsid w:val="001A1EF0"/>
    <w:rsid w:val="001B4BB0"/>
    <w:rsid w:val="001B6107"/>
    <w:rsid w:val="001C0F04"/>
    <w:rsid w:val="001C495F"/>
    <w:rsid w:val="001C5481"/>
    <w:rsid w:val="001C588A"/>
    <w:rsid w:val="001C7AFC"/>
    <w:rsid w:val="001D065F"/>
    <w:rsid w:val="001D0D10"/>
    <w:rsid w:val="001D68E6"/>
    <w:rsid w:val="001E0284"/>
    <w:rsid w:val="001E542C"/>
    <w:rsid w:val="001E6F28"/>
    <w:rsid w:val="001F2AA6"/>
    <w:rsid w:val="001F3AB5"/>
    <w:rsid w:val="00207504"/>
    <w:rsid w:val="00211486"/>
    <w:rsid w:val="00211866"/>
    <w:rsid w:val="0021243C"/>
    <w:rsid w:val="00215A91"/>
    <w:rsid w:val="00223D4D"/>
    <w:rsid w:val="00226BFF"/>
    <w:rsid w:val="002340CF"/>
    <w:rsid w:val="00260F64"/>
    <w:rsid w:val="00262959"/>
    <w:rsid w:val="00262B1A"/>
    <w:rsid w:val="00296D9F"/>
    <w:rsid w:val="002A240D"/>
    <w:rsid w:val="002B2657"/>
    <w:rsid w:val="002B283C"/>
    <w:rsid w:val="002B5C4C"/>
    <w:rsid w:val="002C0CA7"/>
    <w:rsid w:val="002D2C56"/>
    <w:rsid w:val="002D3BA0"/>
    <w:rsid w:val="002D7998"/>
    <w:rsid w:val="002D7D9A"/>
    <w:rsid w:val="002E0D7C"/>
    <w:rsid w:val="002E1ECB"/>
    <w:rsid w:val="002E2392"/>
    <w:rsid w:val="002E2562"/>
    <w:rsid w:val="002E3A7D"/>
    <w:rsid w:val="002E71CF"/>
    <w:rsid w:val="002F014A"/>
    <w:rsid w:val="002F32CE"/>
    <w:rsid w:val="002F49BF"/>
    <w:rsid w:val="00300958"/>
    <w:rsid w:val="00301C9B"/>
    <w:rsid w:val="00310D68"/>
    <w:rsid w:val="00316A75"/>
    <w:rsid w:val="00323174"/>
    <w:rsid w:val="0032406F"/>
    <w:rsid w:val="00333329"/>
    <w:rsid w:val="00344A15"/>
    <w:rsid w:val="003575F2"/>
    <w:rsid w:val="003672E9"/>
    <w:rsid w:val="00374C00"/>
    <w:rsid w:val="00376A9F"/>
    <w:rsid w:val="00385A58"/>
    <w:rsid w:val="00386B34"/>
    <w:rsid w:val="00392584"/>
    <w:rsid w:val="00394652"/>
    <w:rsid w:val="003A7425"/>
    <w:rsid w:val="003C2874"/>
    <w:rsid w:val="003C407F"/>
    <w:rsid w:val="003C6214"/>
    <w:rsid w:val="003D10F4"/>
    <w:rsid w:val="003F11D8"/>
    <w:rsid w:val="003F3941"/>
    <w:rsid w:val="003F76E7"/>
    <w:rsid w:val="00401053"/>
    <w:rsid w:val="00403AF6"/>
    <w:rsid w:val="0041070A"/>
    <w:rsid w:val="00424CDB"/>
    <w:rsid w:val="00424D2E"/>
    <w:rsid w:val="00441BB2"/>
    <w:rsid w:val="00450777"/>
    <w:rsid w:val="0045114A"/>
    <w:rsid w:val="00454EE2"/>
    <w:rsid w:val="00455054"/>
    <w:rsid w:val="00463100"/>
    <w:rsid w:val="00474F63"/>
    <w:rsid w:val="004759E5"/>
    <w:rsid w:val="00476E7A"/>
    <w:rsid w:val="00481F30"/>
    <w:rsid w:val="0049513F"/>
    <w:rsid w:val="00495D68"/>
    <w:rsid w:val="00496F24"/>
    <w:rsid w:val="004A5BAE"/>
    <w:rsid w:val="004B01B8"/>
    <w:rsid w:val="004B07D8"/>
    <w:rsid w:val="004B57D9"/>
    <w:rsid w:val="004B7749"/>
    <w:rsid w:val="004C4F16"/>
    <w:rsid w:val="004C5507"/>
    <w:rsid w:val="004D24DB"/>
    <w:rsid w:val="004D26E1"/>
    <w:rsid w:val="004E00FB"/>
    <w:rsid w:val="004E4A83"/>
    <w:rsid w:val="004E6378"/>
    <w:rsid w:val="004E71F6"/>
    <w:rsid w:val="004E7665"/>
    <w:rsid w:val="004E7E47"/>
    <w:rsid w:val="005021B4"/>
    <w:rsid w:val="0050403D"/>
    <w:rsid w:val="00504CA4"/>
    <w:rsid w:val="0050793A"/>
    <w:rsid w:val="0051449D"/>
    <w:rsid w:val="00514A63"/>
    <w:rsid w:val="0052432C"/>
    <w:rsid w:val="00533F0E"/>
    <w:rsid w:val="0053634E"/>
    <w:rsid w:val="0054322C"/>
    <w:rsid w:val="00545074"/>
    <w:rsid w:val="00546AE7"/>
    <w:rsid w:val="005518DF"/>
    <w:rsid w:val="00556E65"/>
    <w:rsid w:val="00560DBB"/>
    <w:rsid w:val="00565810"/>
    <w:rsid w:val="0057227A"/>
    <w:rsid w:val="00572631"/>
    <w:rsid w:val="005758DD"/>
    <w:rsid w:val="0057734F"/>
    <w:rsid w:val="00584A87"/>
    <w:rsid w:val="00586DE4"/>
    <w:rsid w:val="00586E16"/>
    <w:rsid w:val="00593047"/>
    <w:rsid w:val="005A09EF"/>
    <w:rsid w:val="005A1623"/>
    <w:rsid w:val="005C5925"/>
    <w:rsid w:val="005D149E"/>
    <w:rsid w:val="005D6CAF"/>
    <w:rsid w:val="005E2145"/>
    <w:rsid w:val="005E29CF"/>
    <w:rsid w:val="005E35E9"/>
    <w:rsid w:val="005E7C57"/>
    <w:rsid w:val="005F0CE1"/>
    <w:rsid w:val="005F35A8"/>
    <w:rsid w:val="005F3E9F"/>
    <w:rsid w:val="005F4FF2"/>
    <w:rsid w:val="006043C3"/>
    <w:rsid w:val="00614C14"/>
    <w:rsid w:val="00632A06"/>
    <w:rsid w:val="0064207B"/>
    <w:rsid w:val="00667B17"/>
    <w:rsid w:val="00671785"/>
    <w:rsid w:val="00681764"/>
    <w:rsid w:val="00685982"/>
    <w:rsid w:val="00691E0C"/>
    <w:rsid w:val="00695F29"/>
    <w:rsid w:val="006B2976"/>
    <w:rsid w:val="006D16B3"/>
    <w:rsid w:val="006D2EF1"/>
    <w:rsid w:val="006E144E"/>
    <w:rsid w:val="006E2371"/>
    <w:rsid w:val="006E3180"/>
    <w:rsid w:val="007013C7"/>
    <w:rsid w:val="00702C7B"/>
    <w:rsid w:val="00705952"/>
    <w:rsid w:val="00706369"/>
    <w:rsid w:val="00714D72"/>
    <w:rsid w:val="007215F2"/>
    <w:rsid w:val="007328F9"/>
    <w:rsid w:val="00735557"/>
    <w:rsid w:val="00743824"/>
    <w:rsid w:val="00754865"/>
    <w:rsid w:val="00760562"/>
    <w:rsid w:val="00765189"/>
    <w:rsid w:val="0076619A"/>
    <w:rsid w:val="0076724C"/>
    <w:rsid w:val="00770558"/>
    <w:rsid w:val="007732C6"/>
    <w:rsid w:val="00775ED1"/>
    <w:rsid w:val="00783C85"/>
    <w:rsid w:val="007876EE"/>
    <w:rsid w:val="00791570"/>
    <w:rsid w:val="00794972"/>
    <w:rsid w:val="007978DE"/>
    <w:rsid w:val="007A5A29"/>
    <w:rsid w:val="007A7EEA"/>
    <w:rsid w:val="007B28D0"/>
    <w:rsid w:val="007C0807"/>
    <w:rsid w:val="007C7DE7"/>
    <w:rsid w:val="007D60AC"/>
    <w:rsid w:val="007D72AB"/>
    <w:rsid w:val="007E0D50"/>
    <w:rsid w:val="007E4C73"/>
    <w:rsid w:val="007F4964"/>
    <w:rsid w:val="007F68FE"/>
    <w:rsid w:val="007F7316"/>
    <w:rsid w:val="00803FD0"/>
    <w:rsid w:val="008138BE"/>
    <w:rsid w:val="00815B33"/>
    <w:rsid w:val="008201F3"/>
    <w:rsid w:val="008211E1"/>
    <w:rsid w:val="00823DE7"/>
    <w:rsid w:val="008248AB"/>
    <w:rsid w:val="00825C18"/>
    <w:rsid w:val="008264C4"/>
    <w:rsid w:val="00826999"/>
    <w:rsid w:val="00831CD5"/>
    <w:rsid w:val="00834EFF"/>
    <w:rsid w:val="00834F26"/>
    <w:rsid w:val="00836206"/>
    <w:rsid w:val="00847BBD"/>
    <w:rsid w:val="00852EAA"/>
    <w:rsid w:val="00856201"/>
    <w:rsid w:val="0086170A"/>
    <w:rsid w:val="00877AA2"/>
    <w:rsid w:val="0088076F"/>
    <w:rsid w:val="0088256F"/>
    <w:rsid w:val="00883969"/>
    <w:rsid w:val="00890D40"/>
    <w:rsid w:val="00893EC6"/>
    <w:rsid w:val="00894CF1"/>
    <w:rsid w:val="00897ED2"/>
    <w:rsid w:val="008B0CE2"/>
    <w:rsid w:val="008B181A"/>
    <w:rsid w:val="008B336E"/>
    <w:rsid w:val="008B58B6"/>
    <w:rsid w:val="008C5EE8"/>
    <w:rsid w:val="008C6749"/>
    <w:rsid w:val="008D3BFB"/>
    <w:rsid w:val="008F2AD4"/>
    <w:rsid w:val="008F6F4D"/>
    <w:rsid w:val="00901CD7"/>
    <w:rsid w:val="009040C3"/>
    <w:rsid w:val="009065DC"/>
    <w:rsid w:val="009119F5"/>
    <w:rsid w:val="0091447D"/>
    <w:rsid w:val="009152C1"/>
    <w:rsid w:val="00917894"/>
    <w:rsid w:val="00934683"/>
    <w:rsid w:val="0093575A"/>
    <w:rsid w:val="0094377B"/>
    <w:rsid w:val="00946074"/>
    <w:rsid w:val="00966279"/>
    <w:rsid w:val="0097452C"/>
    <w:rsid w:val="0097611A"/>
    <w:rsid w:val="00983C21"/>
    <w:rsid w:val="009857FC"/>
    <w:rsid w:val="00994EA4"/>
    <w:rsid w:val="009A1183"/>
    <w:rsid w:val="009A7120"/>
    <w:rsid w:val="009A75CE"/>
    <w:rsid w:val="009B253D"/>
    <w:rsid w:val="009B34B2"/>
    <w:rsid w:val="009B3DB3"/>
    <w:rsid w:val="009B4489"/>
    <w:rsid w:val="009C5CAE"/>
    <w:rsid w:val="009C608B"/>
    <w:rsid w:val="009C715E"/>
    <w:rsid w:val="009D4B81"/>
    <w:rsid w:val="009E199B"/>
    <w:rsid w:val="009E3136"/>
    <w:rsid w:val="009F3BBB"/>
    <w:rsid w:val="00A0557B"/>
    <w:rsid w:val="00A05A37"/>
    <w:rsid w:val="00A11B86"/>
    <w:rsid w:val="00A2609E"/>
    <w:rsid w:val="00A270FC"/>
    <w:rsid w:val="00A27A48"/>
    <w:rsid w:val="00A3051B"/>
    <w:rsid w:val="00A30F3C"/>
    <w:rsid w:val="00A316E0"/>
    <w:rsid w:val="00A31A07"/>
    <w:rsid w:val="00A33199"/>
    <w:rsid w:val="00A35979"/>
    <w:rsid w:val="00A3765E"/>
    <w:rsid w:val="00A44487"/>
    <w:rsid w:val="00A446CB"/>
    <w:rsid w:val="00A44D19"/>
    <w:rsid w:val="00A45374"/>
    <w:rsid w:val="00A50EAA"/>
    <w:rsid w:val="00A54A81"/>
    <w:rsid w:val="00A55543"/>
    <w:rsid w:val="00A560FA"/>
    <w:rsid w:val="00A64485"/>
    <w:rsid w:val="00A66355"/>
    <w:rsid w:val="00A66FED"/>
    <w:rsid w:val="00A67BA3"/>
    <w:rsid w:val="00A85FB7"/>
    <w:rsid w:val="00A865F6"/>
    <w:rsid w:val="00A96D17"/>
    <w:rsid w:val="00A9724C"/>
    <w:rsid w:val="00AA0B4C"/>
    <w:rsid w:val="00AA141D"/>
    <w:rsid w:val="00AA39F8"/>
    <w:rsid w:val="00AA7082"/>
    <w:rsid w:val="00AB034E"/>
    <w:rsid w:val="00AB1D5C"/>
    <w:rsid w:val="00AB7F4E"/>
    <w:rsid w:val="00AC1ADC"/>
    <w:rsid w:val="00AC6254"/>
    <w:rsid w:val="00AD0CE7"/>
    <w:rsid w:val="00AE608C"/>
    <w:rsid w:val="00AE6B16"/>
    <w:rsid w:val="00AF0203"/>
    <w:rsid w:val="00AF42A2"/>
    <w:rsid w:val="00AF5892"/>
    <w:rsid w:val="00B020D8"/>
    <w:rsid w:val="00B06DA4"/>
    <w:rsid w:val="00B26E96"/>
    <w:rsid w:val="00B26EBB"/>
    <w:rsid w:val="00B4070F"/>
    <w:rsid w:val="00B453AA"/>
    <w:rsid w:val="00B513AD"/>
    <w:rsid w:val="00B56F85"/>
    <w:rsid w:val="00B60C51"/>
    <w:rsid w:val="00B6155B"/>
    <w:rsid w:val="00B61C6E"/>
    <w:rsid w:val="00B64535"/>
    <w:rsid w:val="00B64CD9"/>
    <w:rsid w:val="00B70046"/>
    <w:rsid w:val="00B714DC"/>
    <w:rsid w:val="00B720EE"/>
    <w:rsid w:val="00B75837"/>
    <w:rsid w:val="00B76C39"/>
    <w:rsid w:val="00B77A8A"/>
    <w:rsid w:val="00B92323"/>
    <w:rsid w:val="00B929FE"/>
    <w:rsid w:val="00B96F10"/>
    <w:rsid w:val="00B97708"/>
    <w:rsid w:val="00BB27F2"/>
    <w:rsid w:val="00BB2BB5"/>
    <w:rsid w:val="00BB6FAC"/>
    <w:rsid w:val="00BC1CAD"/>
    <w:rsid w:val="00BC1CB2"/>
    <w:rsid w:val="00BD2798"/>
    <w:rsid w:val="00BD4BBB"/>
    <w:rsid w:val="00BE0548"/>
    <w:rsid w:val="00BF15F9"/>
    <w:rsid w:val="00BF40C2"/>
    <w:rsid w:val="00BF65DB"/>
    <w:rsid w:val="00BF7EAE"/>
    <w:rsid w:val="00C05D9C"/>
    <w:rsid w:val="00C149CC"/>
    <w:rsid w:val="00C1582E"/>
    <w:rsid w:val="00C15C25"/>
    <w:rsid w:val="00C1645B"/>
    <w:rsid w:val="00C26AA1"/>
    <w:rsid w:val="00C27E86"/>
    <w:rsid w:val="00C37F05"/>
    <w:rsid w:val="00C41867"/>
    <w:rsid w:val="00C43BAE"/>
    <w:rsid w:val="00C45086"/>
    <w:rsid w:val="00C4571E"/>
    <w:rsid w:val="00C46EE1"/>
    <w:rsid w:val="00C5403D"/>
    <w:rsid w:val="00C545CD"/>
    <w:rsid w:val="00C63A32"/>
    <w:rsid w:val="00C657C2"/>
    <w:rsid w:val="00C661EB"/>
    <w:rsid w:val="00C679B9"/>
    <w:rsid w:val="00C70C67"/>
    <w:rsid w:val="00C81983"/>
    <w:rsid w:val="00C83806"/>
    <w:rsid w:val="00C852B1"/>
    <w:rsid w:val="00C937FC"/>
    <w:rsid w:val="00C938E8"/>
    <w:rsid w:val="00C966E6"/>
    <w:rsid w:val="00C97AA0"/>
    <w:rsid w:val="00CA2701"/>
    <w:rsid w:val="00CA72B8"/>
    <w:rsid w:val="00CB269C"/>
    <w:rsid w:val="00CB4FFB"/>
    <w:rsid w:val="00CC0117"/>
    <w:rsid w:val="00CC035F"/>
    <w:rsid w:val="00CC5574"/>
    <w:rsid w:val="00CD0D07"/>
    <w:rsid w:val="00CD0D39"/>
    <w:rsid w:val="00CD1938"/>
    <w:rsid w:val="00CD3C01"/>
    <w:rsid w:val="00CD5C1F"/>
    <w:rsid w:val="00CD62DC"/>
    <w:rsid w:val="00CD7931"/>
    <w:rsid w:val="00CE2069"/>
    <w:rsid w:val="00CF4713"/>
    <w:rsid w:val="00CF55DA"/>
    <w:rsid w:val="00D00B40"/>
    <w:rsid w:val="00D057EA"/>
    <w:rsid w:val="00D14CDA"/>
    <w:rsid w:val="00D32BBC"/>
    <w:rsid w:val="00D42FDA"/>
    <w:rsid w:val="00D52BD2"/>
    <w:rsid w:val="00D61989"/>
    <w:rsid w:val="00D63AE8"/>
    <w:rsid w:val="00D656D5"/>
    <w:rsid w:val="00D66CE6"/>
    <w:rsid w:val="00D71437"/>
    <w:rsid w:val="00D725A5"/>
    <w:rsid w:val="00D733A9"/>
    <w:rsid w:val="00D74601"/>
    <w:rsid w:val="00D77274"/>
    <w:rsid w:val="00D914CF"/>
    <w:rsid w:val="00DA2BB5"/>
    <w:rsid w:val="00DA532F"/>
    <w:rsid w:val="00DB2419"/>
    <w:rsid w:val="00DB3BD3"/>
    <w:rsid w:val="00DB468E"/>
    <w:rsid w:val="00DB6426"/>
    <w:rsid w:val="00DB7ACB"/>
    <w:rsid w:val="00DC6C5D"/>
    <w:rsid w:val="00DC6F97"/>
    <w:rsid w:val="00DD1300"/>
    <w:rsid w:val="00DD3430"/>
    <w:rsid w:val="00DD352D"/>
    <w:rsid w:val="00DE3E7B"/>
    <w:rsid w:val="00DE62CE"/>
    <w:rsid w:val="00DE63E0"/>
    <w:rsid w:val="00DE6EBF"/>
    <w:rsid w:val="00DF250C"/>
    <w:rsid w:val="00DF3EEF"/>
    <w:rsid w:val="00DF40EB"/>
    <w:rsid w:val="00E00130"/>
    <w:rsid w:val="00E00F86"/>
    <w:rsid w:val="00E026A5"/>
    <w:rsid w:val="00E034FC"/>
    <w:rsid w:val="00E0620E"/>
    <w:rsid w:val="00E0704A"/>
    <w:rsid w:val="00E110D9"/>
    <w:rsid w:val="00E1342A"/>
    <w:rsid w:val="00E16F42"/>
    <w:rsid w:val="00E17010"/>
    <w:rsid w:val="00E20E62"/>
    <w:rsid w:val="00E22EE9"/>
    <w:rsid w:val="00E341AB"/>
    <w:rsid w:val="00E34778"/>
    <w:rsid w:val="00E50804"/>
    <w:rsid w:val="00E509DC"/>
    <w:rsid w:val="00E605F2"/>
    <w:rsid w:val="00E60D21"/>
    <w:rsid w:val="00E629BF"/>
    <w:rsid w:val="00E67CF6"/>
    <w:rsid w:val="00E70A7F"/>
    <w:rsid w:val="00E85F55"/>
    <w:rsid w:val="00EA0C8F"/>
    <w:rsid w:val="00EA3EB3"/>
    <w:rsid w:val="00EA6253"/>
    <w:rsid w:val="00EB165E"/>
    <w:rsid w:val="00EB6B68"/>
    <w:rsid w:val="00EC11F3"/>
    <w:rsid w:val="00EC3E6B"/>
    <w:rsid w:val="00EC3F78"/>
    <w:rsid w:val="00ED1817"/>
    <w:rsid w:val="00ED466A"/>
    <w:rsid w:val="00EE5531"/>
    <w:rsid w:val="00EE74E9"/>
    <w:rsid w:val="00EF2CC5"/>
    <w:rsid w:val="00EF5EF5"/>
    <w:rsid w:val="00F15FD4"/>
    <w:rsid w:val="00F244F8"/>
    <w:rsid w:val="00F30447"/>
    <w:rsid w:val="00F305F3"/>
    <w:rsid w:val="00F3426A"/>
    <w:rsid w:val="00F343A7"/>
    <w:rsid w:val="00F352BF"/>
    <w:rsid w:val="00F428F0"/>
    <w:rsid w:val="00F47E53"/>
    <w:rsid w:val="00F51350"/>
    <w:rsid w:val="00F51AEA"/>
    <w:rsid w:val="00F62721"/>
    <w:rsid w:val="00F67ECB"/>
    <w:rsid w:val="00F81960"/>
    <w:rsid w:val="00F82F0A"/>
    <w:rsid w:val="00F92564"/>
    <w:rsid w:val="00F96511"/>
    <w:rsid w:val="00F96B46"/>
    <w:rsid w:val="00F96E00"/>
    <w:rsid w:val="00FA6489"/>
    <w:rsid w:val="00FB1A61"/>
    <w:rsid w:val="00FB7FB3"/>
    <w:rsid w:val="00FD4FB9"/>
    <w:rsid w:val="440E69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70937CB5"/>
  <w14:defaultImageDpi w14:val="330"/>
  <w15:chartTrackingRefBased/>
  <w15:docId w15:val="{13BC0B67-BCB2-466E-957C-953B875B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C4C"/>
    <w:pPr>
      <w:spacing w:before="160" w:after="160"/>
    </w:pPr>
    <w:rPr>
      <w:rFonts w:ascii="Arial" w:hAnsi="Arial" w:cs="Arial"/>
      <w:color w:val="464646" w:themeColor="text1"/>
      <w:sz w:val="20"/>
    </w:rPr>
  </w:style>
  <w:style w:type="paragraph" w:styleId="Heading1">
    <w:name w:val="heading 1"/>
    <w:basedOn w:val="Title"/>
    <w:next w:val="Normal"/>
    <w:link w:val="Heading1Char"/>
    <w:uiPriority w:val="9"/>
    <w:qFormat/>
    <w:rsid w:val="0053634E"/>
    <w:pPr>
      <w:keepNext/>
      <w:keepLines/>
      <w:numPr>
        <w:numId w:val="17"/>
      </w:numPr>
      <w:spacing w:before="600" w:after="240"/>
      <w:outlineLvl w:val="0"/>
    </w:pPr>
    <w:rPr>
      <w:caps w:val="0"/>
      <w:sz w:val="32"/>
      <w:szCs w:val="36"/>
    </w:rPr>
  </w:style>
  <w:style w:type="paragraph" w:styleId="Heading2">
    <w:name w:val="heading 2"/>
    <w:basedOn w:val="Heading1"/>
    <w:next w:val="Normal"/>
    <w:link w:val="Heading2Char"/>
    <w:uiPriority w:val="9"/>
    <w:unhideWhenUsed/>
    <w:qFormat/>
    <w:rsid w:val="00743824"/>
    <w:pPr>
      <w:numPr>
        <w:ilvl w:val="1"/>
      </w:numPr>
      <w:spacing w:before="480" w:after="160"/>
      <w:ind w:left="709" w:hanging="709"/>
      <w:outlineLvl w:val="1"/>
    </w:pPr>
    <w:rPr>
      <w:sz w:val="24"/>
      <w:lang w:val="en-US"/>
    </w:rPr>
  </w:style>
  <w:style w:type="paragraph" w:styleId="Heading3">
    <w:name w:val="heading 3"/>
    <w:basedOn w:val="Normal"/>
    <w:next w:val="Normal"/>
    <w:link w:val="Heading3Char"/>
    <w:uiPriority w:val="9"/>
    <w:unhideWhenUsed/>
    <w:qFormat/>
    <w:rsid w:val="00743824"/>
    <w:pPr>
      <w:keepNext/>
      <w:keepLines/>
      <w:spacing w:before="320" w:after="0"/>
      <w:outlineLvl w:val="2"/>
    </w:pPr>
    <w:rPr>
      <w:rFonts w:eastAsiaTheme="majorEastAsia" w:cstheme="majorBidi"/>
      <w:b/>
    </w:rPr>
  </w:style>
  <w:style w:type="paragraph" w:styleId="Heading4">
    <w:name w:val="heading 4"/>
    <w:basedOn w:val="Normal"/>
    <w:next w:val="Normal"/>
    <w:link w:val="Heading4Char"/>
    <w:uiPriority w:val="9"/>
    <w:unhideWhenUsed/>
    <w:qFormat/>
    <w:rsid w:val="00CC5574"/>
    <w:pPr>
      <w:keepNext/>
      <w:keepLines/>
      <w:spacing w:before="4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CC5574"/>
    <w:pPr>
      <w:keepNext/>
      <w:keepLines/>
      <w:spacing w:before="4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34E"/>
    <w:rPr>
      <w:rFonts w:ascii="Arial" w:eastAsiaTheme="majorEastAsia" w:hAnsi="Arial" w:cs="Arial"/>
      <w:b/>
      <w:color w:val="464646" w:themeColor="text1"/>
      <w:kern w:val="28"/>
      <w:sz w:val="32"/>
      <w:szCs w:val="36"/>
    </w:rPr>
  </w:style>
  <w:style w:type="character" w:customStyle="1" w:styleId="Heading2Char">
    <w:name w:val="Heading 2 Char"/>
    <w:basedOn w:val="DefaultParagraphFont"/>
    <w:link w:val="Heading2"/>
    <w:uiPriority w:val="9"/>
    <w:rsid w:val="00743824"/>
    <w:rPr>
      <w:rFonts w:ascii="Arial" w:eastAsiaTheme="majorEastAsia" w:hAnsi="Arial" w:cs="Arial"/>
      <w:b/>
      <w:caps/>
      <w:color w:val="464646" w:themeColor="text1"/>
      <w:kern w:val="28"/>
      <w:szCs w:val="36"/>
      <w:lang w:val="en-US"/>
    </w:rPr>
  </w:style>
  <w:style w:type="character" w:customStyle="1" w:styleId="Heading3Char">
    <w:name w:val="Heading 3 Char"/>
    <w:basedOn w:val="DefaultParagraphFont"/>
    <w:link w:val="Heading3"/>
    <w:uiPriority w:val="9"/>
    <w:rsid w:val="00743824"/>
    <w:rPr>
      <w:rFonts w:ascii="Arial" w:eastAsiaTheme="majorEastAsia" w:hAnsi="Arial" w:cstheme="majorBidi"/>
      <w:b/>
      <w:color w:val="464646" w:themeColor="text1"/>
    </w:rPr>
  </w:style>
  <w:style w:type="paragraph" w:styleId="Title">
    <w:name w:val="Title"/>
    <w:basedOn w:val="Normal"/>
    <w:next w:val="Normal"/>
    <w:link w:val="TitleChar"/>
    <w:uiPriority w:val="10"/>
    <w:qFormat/>
    <w:rsid w:val="0011079D"/>
    <w:pPr>
      <w:contextualSpacing/>
    </w:pPr>
    <w:rPr>
      <w:rFonts w:eastAsiaTheme="majorEastAsia"/>
      <w:b/>
      <w:caps/>
      <w:kern w:val="28"/>
      <w:sz w:val="72"/>
      <w:szCs w:val="56"/>
    </w:rPr>
  </w:style>
  <w:style w:type="character" w:customStyle="1" w:styleId="TitleChar">
    <w:name w:val="Title Char"/>
    <w:basedOn w:val="DefaultParagraphFont"/>
    <w:link w:val="Title"/>
    <w:uiPriority w:val="10"/>
    <w:rsid w:val="0011079D"/>
    <w:rPr>
      <w:rFonts w:ascii="Arial" w:eastAsiaTheme="majorEastAsia" w:hAnsi="Arial" w:cs="Arial"/>
      <w:b/>
      <w:caps/>
      <w:color w:val="464646" w:themeColor="text1"/>
      <w:kern w:val="28"/>
      <w:sz w:val="72"/>
      <w:szCs w:val="56"/>
    </w:rPr>
  </w:style>
  <w:style w:type="paragraph" w:styleId="Subtitle">
    <w:name w:val="Subtitle"/>
    <w:basedOn w:val="Normal"/>
    <w:next w:val="Normal"/>
    <w:link w:val="SubtitleChar"/>
    <w:uiPriority w:val="11"/>
    <w:qFormat/>
    <w:rsid w:val="00D656D5"/>
    <w:pPr>
      <w:numPr>
        <w:ilvl w:val="1"/>
      </w:numPr>
    </w:pPr>
    <w:rPr>
      <w:rFonts w:eastAsiaTheme="minorEastAsia"/>
      <w:spacing w:val="15"/>
      <w:sz w:val="28"/>
      <w:szCs w:val="28"/>
    </w:rPr>
  </w:style>
  <w:style w:type="character" w:customStyle="1" w:styleId="SubtitleChar">
    <w:name w:val="Subtitle Char"/>
    <w:basedOn w:val="DefaultParagraphFont"/>
    <w:link w:val="Subtitle"/>
    <w:uiPriority w:val="11"/>
    <w:rsid w:val="00D656D5"/>
    <w:rPr>
      <w:rFonts w:ascii="Arial" w:eastAsiaTheme="minorEastAsia" w:hAnsi="Arial" w:cs="Arial"/>
      <w:color w:val="464646" w:themeColor="text1"/>
      <w:spacing w:val="15"/>
      <w:sz w:val="28"/>
      <w:szCs w:val="28"/>
    </w:rPr>
  </w:style>
  <w:style w:type="character" w:customStyle="1" w:styleId="Heading5Char">
    <w:name w:val="Heading 5 Char"/>
    <w:basedOn w:val="DefaultParagraphFont"/>
    <w:link w:val="Heading5"/>
    <w:uiPriority w:val="9"/>
    <w:semiHidden/>
    <w:rsid w:val="00CC5574"/>
    <w:rPr>
      <w:rFonts w:ascii="Arial" w:eastAsiaTheme="majorEastAsia" w:hAnsi="Arial" w:cstheme="majorBidi"/>
      <w:i/>
      <w:color w:val="464646" w:themeColor="text1"/>
    </w:rPr>
  </w:style>
  <w:style w:type="paragraph" w:styleId="Quote">
    <w:name w:val="Quote"/>
    <w:basedOn w:val="Normal"/>
    <w:next w:val="Normal"/>
    <w:link w:val="QuoteChar"/>
    <w:uiPriority w:val="29"/>
    <w:qFormat/>
    <w:rsid w:val="00344A15"/>
    <w:pPr>
      <w:spacing w:before="240" w:after="240"/>
      <w:ind w:left="862" w:right="862"/>
    </w:pPr>
    <w:rPr>
      <w:i/>
      <w:iCs/>
      <w:sz w:val="32"/>
      <w:szCs w:val="32"/>
      <w:lang w:val="en-US"/>
    </w:rPr>
  </w:style>
  <w:style w:type="character" w:customStyle="1" w:styleId="QuoteChar">
    <w:name w:val="Quote Char"/>
    <w:basedOn w:val="DefaultParagraphFont"/>
    <w:link w:val="Quote"/>
    <w:uiPriority w:val="29"/>
    <w:rsid w:val="00344A15"/>
    <w:rPr>
      <w:rFonts w:ascii="Arial" w:hAnsi="Arial" w:cs="Arial"/>
      <w:i/>
      <w:iCs/>
      <w:color w:val="464646" w:themeColor="text1"/>
      <w:sz w:val="32"/>
      <w:szCs w:val="32"/>
      <w:lang w:val="en-US"/>
    </w:rPr>
  </w:style>
  <w:style w:type="paragraph" w:styleId="Header">
    <w:name w:val="header"/>
    <w:basedOn w:val="Normal"/>
    <w:link w:val="HeaderChar"/>
    <w:uiPriority w:val="99"/>
    <w:unhideWhenUsed/>
    <w:qFormat/>
    <w:rsid w:val="00AF5892"/>
    <w:pPr>
      <w:tabs>
        <w:tab w:val="center" w:pos="4536"/>
        <w:tab w:val="right" w:pos="9072"/>
      </w:tabs>
    </w:pPr>
  </w:style>
  <w:style w:type="character" w:customStyle="1" w:styleId="HeaderChar">
    <w:name w:val="Header Char"/>
    <w:basedOn w:val="DefaultParagraphFont"/>
    <w:link w:val="Header"/>
    <w:uiPriority w:val="99"/>
    <w:rsid w:val="00AF5892"/>
    <w:rPr>
      <w:rFonts w:ascii="Arial" w:hAnsi="Arial" w:cs="Arial"/>
    </w:rPr>
  </w:style>
  <w:style w:type="paragraph" w:styleId="Footer">
    <w:name w:val="footer"/>
    <w:basedOn w:val="Normal"/>
    <w:link w:val="FooterChar"/>
    <w:uiPriority w:val="99"/>
    <w:unhideWhenUsed/>
    <w:qFormat/>
    <w:rsid w:val="000C28CE"/>
    <w:pPr>
      <w:tabs>
        <w:tab w:val="center" w:pos="4536"/>
        <w:tab w:val="right" w:pos="9072"/>
      </w:tabs>
    </w:pPr>
    <w:rPr>
      <w:sz w:val="16"/>
    </w:rPr>
  </w:style>
  <w:style w:type="character" w:customStyle="1" w:styleId="FooterChar">
    <w:name w:val="Footer Char"/>
    <w:basedOn w:val="DefaultParagraphFont"/>
    <w:link w:val="Footer"/>
    <w:uiPriority w:val="99"/>
    <w:rsid w:val="000C28CE"/>
    <w:rPr>
      <w:rFonts w:ascii="Arial" w:hAnsi="Arial" w:cs="Arial"/>
      <w:color w:val="464646" w:themeColor="text1"/>
      <w:sz w:val="16"/>
    </w:rPr>
  </w:style>
  <w:style w:type="paragraph" w:styleId="ListParagraph">
    <w:name w:val="List Paragraph"/>
    <w:basedOn w:val="Normal"/>
    <w:uiPriority w:val="34"/>
    <w:qFormat/>
    <w:rsid w:val="00CD0D07"/>
    <w:pPr>
      <w:numPr>
        <w:numId w:val="12"/>
      </w:numPr>
      <w:contextualSpacing/>
    </w:pPr>
    <w:rPr>
      <w:lang w:val="en-US"/>
    </w:rPr>
  </w:style>
  <w:style w:type="character" w:styleId="PageNumber">
    <w:name w:val="page number"/>
    <w:basedOn w:val="DefaultParagraphFont"/>
    <w:uiPriority w:val="99"/>
    <w:semiHidden/>
    <w:unhideWhenUsed/>
    <w:rsid w:val="00CD0D07"/>
  </w:style>
  <w:style w:type="paragraph" w:styleId="NoSpacing">
    <w:name w:val="No Spacing"/>
    <w:link w:val="NoSpacingChar"/>
    <w:uiPriority w:val="1"/>
    <w:qFormat/>
    <w:rsid w:val="00CD0D07"/>
    <w:rPr>
      <w:rFonts w:eastAsiaTheme="minorEastAsia"/>
      <w:sz w:val="22"/>
      <w:szCs w:val="22"/>
      <w:lang w:val="en-US" w:eastAsia="zh-CN"/>
    </w:rPr>
  </w:style>
  <w:style w:type="character" w:customStyle="1" w:styleId="NoSpacingChar">
    <w:name w:val="No Spacing Char"/>
    <w:basedOn w:val="DefaultParagraphFont"/>
    <w:link w:val="NoSpacing"/>
    <w:uiPriority w:val="1"/>
    <w:rsid w:val="00CD0D07"/>
    <w:rPr>
      <w:rFonts w:eastAsiaTheme="minorEastAsia"/>
      <w:sz w:val="22"/>
      <w:szCs w:val="22"/>
      <w:lang w:val="en-US" w:eastAsia="zh-CN"/>
    </w:rPr>
  </w:style>
  <w:style w:type="character" w:customStyle="1" w:styleId="Heading4Char">
    <w:name w:val="Heading 4 Char"/>
    <w:basedOn w:val="DefaultParagraphFont"/>
    <w:link w:val="Heading4"/>
    <w:uiPriority w:val="9"/>
    <w:rsid w:val="00CC5574"/>
    <w:rPr>
      <w:rFonts w:ascii="Arial" w:eastAsiaTheme="majorEastAsia" w:hAnsi="Arial" w:cstheme="majorBidi"/>
      <w:i/>
      <w:iCs/>
      <w:color w:val="464646" w:themeColor="text1"/>
    </w:rPr>
  </w:style>
  <w:style w:type="character" w:styleId="Hyperlink">
    <w:name w:val="Hyperlink"/>
    <w:basedOn w:val="DefaultParagraphFont"/>
    <w:uiPriority w:val="99"/>
    <w:unhideWhenUsed/>
    <w:rsid w:val="0054322C"/>
    <w:rPr>
      <w:color w:val="6AC1E7" w:themeColor="hyperlink"/>
      <w:u w:val="single"/>
    </w:rPr>
  </w:style>
  <w:style w:type="paragraph" w:styleId="TOC1">
    <w:name w:val="toc 1"/>
    <w:basedOn w:val="Normal"/>
    <w:next w:val="Normal"/>
    <w:autoRedefine/>
    <w:uiPriority w:val="39"/>
    <w:unhideWhenUsed/>
    <w:rsid w:val="0053634E"/>
    <w:pPr>
      <w:tabs>
        <w:tab w:val="left" w:pos="567"/>
        <w:tab w:val="right" w:pos="9056"/>
      </w:tabs>
      <w:spacing w:before="240" w:after="120"/>
    </w:pPr>
    <w:rPr>
      <w:b/>
      <w:bCs/>
      <w:noProof/>
      <w:color w:val="auto"/>
      <w:sz w:val="28"/>
      <w:szCs w:val="22"/>
      <w:lang w:val="en-US"/>
    </w:rPr>
  </w:style>
  <w:style w:type="paragraph" w:styleId="TOC2">
    <w:name w:val="toc 2"/>
    <w:basedOn w:val="Normal"/>
    <w:next w:val="Normal"/>
    <w:autoRedefine/>
    <w:uiPriority w:val="39"/>
    <w:unhideWhenUsed/>
    <w:rsid w:val="00743824"/>
    <w:pPr>
      <w:tabs>
        <w:tab w:val="left" w:pos="1207"/>
        <w:tab w:val="right" w:pos="9056"/>
      </w:tabs>
      <w:spacing w:after="0"/>
      <w:ind w:left="567" w:hanging="567"/>
    </w:pPr>
    <w:rPr>
      <w:b/>
      <w:bCs/>
      <w:caps/>
      <w:noProof/>
      <w:szCs w:val="22"/>
      <w:lang w:val="en-US"/>
    </w:rPr>
  </w:style>
  <w:style w:type="paragraph" w:styleId="TOC3">
    <w:name w:val="toc 3"/>
    <w:basedOn w:val="Normal"/>
    <w:next w:val="Normal"/>
    <w:autoRedefine/>
    <w:uiPriority w:val="39"/>
    <w:unhideWhenUsed/>
    <w:rsid w:val="00CC035F"/>
    <w:pPr>
      <w:tabs>
        <w:tab w:val="right" w:pos="9056"/>
      </w:tabs>
      <w:spacing w:after="0"/>
      <w:ind w:left="567"/>
    </w:pPr>
    <w:rPr>
      <w:noProof/>
      <w:szCs w:val="22"/>
      <w:lang w:val="en-US"/>
    </w:rPr>
  </w:style>
  <w:style w:type="paragraph" w:styleId="TOC4">
    <w:name w:val="toc 4"/>
    <w:basedOn w:val="TOC3"/>
    <w:next w:val="Normal"/>
    <w:autoRedefine/>
    <w:uiPriority w:val="39"/>
    <w:unhideWhenUsed/>
    <w:rsid w:val="001C588A"/>
  </w:style>
  <w:style w:type="paragraph" w:styleId="TableofAuthorities">
    <w:name w:val="table of authorities"/>
    <w:basedOn w:val="Normal"/>
    <w:next w:val="Normal"/>
    <w:uiPriority w:val="99"/>
    <w:unhideWhenUsed/>
    <w:rsid w:val="000F3E4C"/>
    <w:pPr>
      <w:spacing w:before="0" w:after="0"/>
      <w:ind w:left="240" w:hanging="240"/>
    </w:pPr>
    <w:rPr>
      <w:rFonts w:asciiTheme="minorHAnsi" w:hAnsiTheme="minorHAnsi"/>
      <w:szCs w:val="20"/>
    </w:rPr>
  </w:style>
  <w:style w:type="paragraph" w:styleId="TOAHeading">
    <w:name w:val="toa heading"/>
    <w:basedOn w:val="Normal"/>
    <w:next w:val="Normal"/>
    <w:uiPriority w:val="99"/>
    <w:unhideWhenUsed/>
    <w:rsid w:val="000F3E4C"/>
    <w:pPr>
      <w:spacing w:before="240" w:after="120"/>
    </w:pPr>
    <w:rPr>
      <w:rFonts w:asciiTheme="minorHAnsi" w:hAnsiTheme="minorHAnsi"/>
      <w:b/>
      <w:bCs/>
      <w:caps/>
      <w:szCs w:val="20"/>
    </w:rPr>
  </w:style>
  <w:style w:type="paragraph" w:styleId="FootnoteText">
    <w:name w:val="footnote text"/>
    <w:basedOn w:val="Normal"/>
    <w:link w:val="FootnoteTextChar"/>
    <w:uiPriority w:val="99"/>
    <w:unhideWhenUsed/>
    <w:rsid w:val="003F76E7"/>
    <w:pPr>
      <w:spacing w:before="0" w:after="0"/>
      <w:ind w:left="284" w:hanging="284"/>
    </w:pPr>
    <w:rPr>
      <w:sz w:val="16"/>
    </w:rPr>
  </w:style>
  <w:style w:type="character" w:customStyle="1" w:styleId="FootnoteTextChar">
    <w:name w:val="Footnote Text Char"/>
    <w:basedOn w:val="DefaultParagraphFont"/>
    <w:link w:val="FootnoteText"/>
    <w:uiPriority w:val="99"/>
    <w:rsid w:val="003F76E7"/>
    <w:rPr>
      <w:rFonts w:ascii="Arial" w:hAnsi="Arial" w:cs="Arial"/>
      <w:color w:val="464646" w:themeColor="text1"/>
      <w:sz w:val="16"/>
    </w:rPr>
  </w:style>
  <w:style w:type="character" w:styleId="FootnoteReference">
    <w:name w:val="footnote reference"/>
    <w:basedOn w:val="DefaultParagraphFont"/>
    <w:uiPriority w:val="99"/>
    <w:unhideWhenUsed/>
    <w:rsid w:val="000F3E4C"/>
    <w:rPr>
      <w:vertAlign w:val="superscript"/>
    </w:rPr>
  </w:style>
  <w:style w:type="paragraph" w:customStyle="1" w:styleId="Table-Header">
    <w:name w:val="Table-Header"/>
    <w:basedOn w:val="Normal"/>
    <w:link w:val="Table-HeaderZchnZchn"/>
    <w:qFormat/>
    <w:rsid w:val="002B5C4C"/>
    <w:pPr>
      <w:keepLines/>
      <w:adjustRightInd w:val="0"/>
      <w:snapToGrid w:val="0"/>
    </w:pPr>
    <w:rPr>
      <w:rFonts w:eastAsia="Times New Roman" w:cs="Times New Roman"/>
      <w:b/>
      <w:bCs/>
      <w:color w:val="auto"/>
      <w:szCs w:val="20"/>
      <w:lang w:val="en-GB" w:eastAsia="de-DE"/>
    </w:rPr>
  </w:style>
  <w:style w:type="character" w:customStyle="1" w:styleId="Table-HeaderZchnZchn">
    <w:name w:val="Table-Header Zchn Zchn"/>
    <w:link w:val="Table-Header"/>
    <w:rsid w:val="002B5C4C"/>
    <w:rPr>
      <w:rFonts w:ascii="Arial" w:eastAsia="Times New Roman" w:hAnsi="Arial" w:cs="Times New Roman"/>
      <w:b/>
      <w:bCs/>
      <w:sz w:val="20"/>
      <w:szCs w:val="20"/>
      <w:lang w:val="en-GB" w:eastAsia="de-DE"/>
    </w:rPr>
  </w:style>
  <w:style w:type="table" w:styleId="TableGrid">
    <w:name w:val="Table Grid"/>
    <w:basedOn w:val="TableNormal"/>
    <w:rsid w:val="009B4489"/>
    <w:pPr>
      <w:spacing w:before="60" w:after="60"/>
      <w:jc w:val="both"/>
    </w:pPr>
    <w:rPr>
      <w:rFonts w:ascii="Arial" w:eastAsia="Times New Roman" w:hAnsi="Arial" w:cs="Times New Roman"/>
      <w:sz w:val="20"/>
      <w:szCs w:val="20"/>
      <w:lang w:val="de-DE" w:eastAsia="de-DE"/>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B4489"/>
    <w:tblPr>
      <w:tblBorders>
        <w:top w:val="single" w:sz="4" w:space="0" w:color="B7B7B7" w:themeColor="background1" w:themeShade="BF"/>
        <w:left w:val="single" w:sz="4" w:space="0" w:color="B7B7B7" w:themeColor="background1" w:themeShade="BF"/>
        <w:bottom w:val="single" w:sz="4" w:space="0" w:color="B7B7B7" w:themeColor="background1" w:themeShade="BF"/>
        <w:right w:val="single" w:sz="4" w:space="0" w:color="B7B7B7" w:themeColor="background1" w:themeShade="BF"/>
        <w:insideH w:val="single" w:sz="4" w:space="0" w:color="B7B7B7" w:themeColor="background1" w:themeShade="BF"/>
        <w:insideV w:val="single" w:sz="4" w:space="0" w:color="B7B7B7" w:themeColor="background1" w:themeShade="BF"/>
      </w:tblBorders>
    </w:tblPr>
  </w:style>
  <w:style w:type="table" w:styleId="PlainTable1">
    <w:name w:val="Plain Table 1"/>
    <w:basedOn w:val="TableNormal"/>
    <w:uiPriority w:val="41"/>
    <w:rsid w:val="009B4489"/>
    <w:tblPr>
      <w:tblStyleRowBandSize w:val="1"/>
      <w:tblStyleColBandSize w:val="1"/>
      <w:tblBorders>
        <w:top w:val="single" w:sz="4" w:space="0" w:color="B7B7B7" w:themeColor="background1" w:themeShade="BF"/>
        <w:left w:val="single" w:sz="4" w:space="0" w:color="B7B7B7" w:themeColor="background1" w:themeShade="BF"/>
        <w:bottom w:val="single" w:sz="4" w:space="0" w:color="B7B7B7" w:themeColor="background1" w:themeShade="BF"/>
        <w:right w:val="single" w:sz="4" w:space="0" w:color="B7B7B7" w:themeColor="background1" w:themeShade="BF"/>
        <w:insideH w:val="single" w:sz="4" w:space="0" w:color="B7B7B7" w:themeColor="background1" w:themeShade="BF"/>
        <w:insideV w:val="single" w:sz="4" w:space="0" w:color="B7B7B7" w:themeColor="background1" w:themeShade="BF"/>
      </w:tblBorders>
    </w:tblPr>
    <w:tblStylePr w:type="firstRow">
      <w:rPr>
        <w:b/>
        <w:bCs/>
      </w:rPr>
    </w:tblStylePr>
    <w:tblStylePr w:type="lastRow">
      <w:rPr>
        <w:b/>
        <w:bCs/>
      </w:rPr>
      <w:tblPr/>
      <w:tcPr>
        <w:tcBorders>
          <w:top w:val="double" w:sz="4" w:space="0" w:color="B7B7B7" w:themeColor="background1" w:themeShade="BF"/>
        </w:tcBorders>
      </w:tcPr>
    </w:tblStylePr>
    <w:tblStylePr w:type="firstCol">
      <w:rPr>
        <w:b/>
        <w:bCs/>
      </w:rPr>
    </w:tblStylePr>
    <w:tblStylePr w:type="lastCol">
      <w:rPr>
        <w:b/>
        <w:bCs/>
      </w:rPr>
    </w:tblStylePr>
    <w:tblStylePr w:type="band1Vert">
      <w:tblPr/>
      <w:tcPr>
        <w:shd w:val="clear" w:color="auto" w:fill="E8E8E8" w:themeFill="background1" w:themeFillShade="F2"/>
      </w:tcPr>
    </w:tblStylePr>
    <w:tblStylePr w:type="band1Horz">
      <w:tblPr/>
      <w:tcPr>
        <w:shd w:val="clear" w:color="auto" w:fill="E8E8E8" w:themeFill="background1" w:themeFillShade="F2"/>
      </w:tcPr>
    </w:tblStylePr>
  </w:style>
  <w:style w:type="table" w:styleId="PlainTable2">
    <w:name w:val="Plain Table 2"/>
    <w:basedOn w:val="TableNormal"/>
    <w:uiPriority w:val="42"/>
    <w:rsid w:val="009B4489"/>
    <w:tblPr>
      <w:tblStyleRowBandSize w:val="1"/>
      <w:tblStyleColBandSize w:val="1"/>
      <w:tblBorders>
        <w:top w:val="single" w:sz="4" w:space="0" w:color="A2A2A2" w:themeColor="text1" w:themeTint="80"/>
        <w:bottom w:val="single" w:sz="4" w:space="0" w:color="A2A2A2" w:themeColor="text1" w:themeTint="80"/>
      </w:tblBorders>
    </w:tblPr>
    <w:tblStylePr w:type="firstRow">
      <w:rPr>
        <w:b/>
        <w:bCs/>
      </w:rPr>
      <w:tblPr/>
      <w:tcPr>
        <w:tcBorders>
          <w:bottom w:val="single" w:sz="4" w:space="0" w:color="A2A2A2" w:themeColor="text1" w:themeTint="80"/>
        </w:tcBorders>
      </w:tcPr>
    </w:tblStylePr>
    <w:tblStylePr w:type="lastRow">
      <w:rPr>
        <w:b/>
        <w:bCs/>
      </w:rPr>
      <w:tblPr/>
      <w:tcPr>
        <w:tcBorders>
          <w:top w:val="single" w:sz="4" w:space="0" w:color="A2A2A2" w:themeColor="text1" w:themeTint="80"/>
        </w:tcBorders>
      </w:tcPr>
    </w:tblStylePr>
    <w:tblStylePr w:type="firstCol">
      <w:rPr>
        <w:b/>
        <w:bCs/>
      </w:rPr>
    </w:tblStylePr>
    <w:tblStylePr w:type="lastCol">
      <w:rPr>
        <w:b/>
        <w:bCs/>
      </w:rPr>
    </w:tblStylePr>
    <w:tblStylePr w:type="band1Vert">
      <w:tblPr/>
      <w:tcPr>
        <w:tcBorders>
          <w:left w:val="single" w:sz="4" w:space="0" w:color="A2A2A2" w:themeColor="text1" w:themeTint="80"/>
          <w:right w:val="single" w:sz="4" w:space="0" w:color="A2A2A2" w:themeColor="text1" w:themeTint="80"/>
        </w:tcBorders>
      </w:tcPr>
    </w:tblStylePr>
    <w:tblStylePr w:type="band2Vert">
      <w:tblPr/>
      <w:tcPr>
        <w:tcBorders>
          <w:left w:val="single" w:sz="4" w:space="0" w:color="A2A2A2" w:themeColor="text1" w:themeTint="80"/>
          <w:right w:val="single" w:sz="4" w:space="0" w:color="A2A2A2" w:themeColor="text1" w:themeTint="80"/>
        </w:tcBorders>
      </w:tcPr>
    </w:tblStylePr>
    <w:tblStylePr w:type="band1Horz">
      <w:tblPr/>
      <w:tcPr>
        <w:tcBorders>
          <w:top w:val="single" w:sz="4" w:space="0" w:color="A2A2A2" w:themeColor="text1" w:themeTint="80"/>
          <w:bottom w:val="single" w:sz="4" w:space="0" w:color="A2A2A2" w:themeColor="text1" w:themeTint="80"/>
        </w:tcBorders>
      </w:tcPr>
    </w:tblStylePr>
  </w:style>
  <w:style w:type="table" w:styleId="PlainTable4">
    <w:name w:val="Plain Table 4"/>
    <w:basedOn w:val="TableNormal"/>
    <w:uiPriority w:val="44"/>
    <w:rsid w:val="009B448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8E8" w:themeFill="background1" w:themeFillShade="F2"/>
      </w:tcPr>
    </w:tblStylePr>
    <w:tblStylePr w:type="band1Horz">
      <w:tblPr/>
      <w:tcPr>
        <w:shd w:val="clear" w:color="auto" w:fill="E8E8E8" w:themeFill="background1" w:themeFillShade="F2"/>
      </w:tcPr>
    </w:tblStylePr>
  </w:style>
  <w:style w:type="table" w:styleId="PlainTable5">
    <w:name w:val="Plain Table 5"/>
    <w:basedOn w:val="TableNormal"/>
    <w:uiPriority w:val="45"/>
    <w:rsid w:val="009B448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2A2A2" w:themeColor="text1" w:themeTint="80"/>
        </w:tcBorders>
        <w:shd w:val="clear" w:color="auto" w:fill="F5F5F5" w:themeFill="background1"/>
      </w:tcPr>
    </w:tblStylePr>
    <w:tblStylePr w:type="lastRow">
      <w:rPr>
        <w:rFonts w:asciiTheme="majorHAnsi" w:eastAsiaTheme="majorEastAsia" w:hAnsiTheme="majorHAnsi" w:cstheme="majorBidi"/>
        <w:i/>
        <w:iCs/>
        <w:sz w:val="26"/>
      </w:rPr>
      <w:tblPr/>
      <w:tcPr>
        <w:tcBorders>
          <w:top w:val="single" w:sz="4" w:space="0" w:color="A2A2A2" w:themeColor="text1" w:themeTint="80"/>
        </w:tcBorders>
        <w:shd w:val="clear" w:color="auto" w:fill="F5F5F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2A2A2" w:themeColor="text1" w:themeTint="80"/>
        </w:tcBorders>
        <w:shd w:val="clear" w:color="auto" w:fill="F5F5F5" w:themeFill="background1"/>
      </w:tcPr>
    </w:tblStylePr>
    <w:tblStylePr w:type="lastCol">
      <w:rPr>
        <w:rFonts w:asciiTheme="majorHAnsi" w:eastAsiaTheme="majorEastAsia" w:hAnsiTheme="majorHAnsi" w:cstheme="majorBidi"/>
        <w:i/>
        <w:iCs/>
        <w:sz w:val="26"/>
      </w:rPr>
      <w:tblPr/>
      <w:tcPr>
        <w:tcBorders>
          <w:left w:val="single" w:sz="4" w:space="0" w:color="A2A2A2" w:themeColor="text1" w:themeTint="80"/>
        </w:tcBorders>
        <w:shd w:val="clear" w:color="auto" w:fill="F5F5F5" w:themeFill="background1"/>
      </w:tcPr>
    </w:tblStylePr>
    <w:tblStylePr w:type="band1Vert">
      <w:tblPr/>
      <w:tcPr>
        <w:shd w:val="clear" w:color="auto" w:fill="E8E8E8" w:themeFill="background1" w:themeFillShade="F2"/>
      </w:tcPr>
    </w:tblStylePr>
    <w:tblStylePr w:type="band1Horz">
      <w:tblPr/>
      <w:tcPr>
        <w:shd w:val="clear" w:color="auto" w:fill="E8E8E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eadingnotintableofcontents">
    <w:name w:val="Heading (not in table of contents)"/>
    <w:qFormat/>
    <w:rsid w:val="002B5C4C"/>
    <w:rPr>
      <w:rFonts w:ascii="Arial" w:eastAsiaTheme="majorEastAsia" w:hAnsi="Arial" w:cstheme="majorBidi"/>
      <w:b/>
      <w:iCs/>
      <w:caps/>
      <w:noProof/>
      <w:color w:val="464646" w:themeColor="text1"/>
      <w:sz w:val="36"/>
      <w:lang w:val="en-US"/>
    </w:rPr>
  </w:style>
  <w:style w:type="table" w:styleId="ListTable3">
    <w:name w:val="List Table 3"/>
    <w:basedOn w:val="TableNormal"/>
    <w:uiPriority w:val="48"/>
    <w:rsid w:val="00FB7FB3"/>
    <w:tblPr>
      <w:tblStyleRowBandSize w:val="1"/>
      <w:tblStyleColBandSize w:val="1"/>
      <w:tblBorders>
        <w:top w:val="single" w:sz="4" w:space="0" w:color="464646" w:themeColor="text1"/>
        <w:left w:val="single" w:sz="4" w:space="0" w:color="464646" w:themeColor="text1"/>
        <w:bottom w:val="single" w:sz="4" w:space="0" w:color="464646" w:themeColor="text1"/>
        <w:right w:val="single" w:sz="4" w:space="0" w:color="464646" w:themeColor="text1"/>
      </w:tblBorders>
    </w:tblPr>
    <w:tblStylePr w:type="firstRow">
      <w:rPr>
        <w:b/>
        <w:bCs/>
        <w:color w:val="F5F5F5" w:themeColor="background1"/>
      </w:rPr>
      <w:tblPr/>
      <w:tcPr>
        <w:shd w:val="clear" w:color="auto" w:fill="464646" w:themeFill="text1"/>
      </w:tcPr>
    </w:tblStylePr>
    <w:tblStylePr w:type="lastRow">
      <w:rPr>
        <w:b/>
        <w:bCs/>
      </w:rPr>
      <w:tblPr/>
      <w:tcPr>
        <w:tcBorders>
          <w:top w:val="double" w:sz="4" w:space="0" w:color="464646" w:themeColor="text1"/>
        </w:tcBorders>
        <w:shd w:val="clear" w:color="auto" w:fill="F5F5F5" w:themeFill="background1"/>
      </w:tcPr>
    </w:tblStylePr>
    <w:tblStylePr w:type="firstCol">
      <w:rPr>
        <w:b/>
        <w:bCs/>
      </w:rPr>
      <w:tblPr/>
      <w:tcPr>
        <w:tcBorders>
          <w:right w:val="nil"/>
        </w:tcBorders>
        <w:shd w:val="clear" w:color="auto" w:fill="F5F5F5" w:themeFill="background1"/>
      </w:tcPr>
    </w:tblStylePr>
    <w:tblStylePr w:type="lastCol">
      <w:rPr>
        <w:b/>
        <w:bCs/>
      </w:rPr>
      <w:tblPr/>
      <w:tcPr>
        <w:tcBorders>
          <w:left w:val="nil"/>
        </w:tcBorders>
        <w:shd w:val="clear" w:color="auto" w:fill="F5F5F5" w:themeFill="background1"/>
      </w:tcPr>
    </w:tblStylePr>
    <w:tblStylePr w:type="band1Vert">
      <w:tblPr/>
      <w:tcPr>
        <w:tcBorders>
          <w:left w:val="single" w:sz="4" w:space="0" w:color="464646" w:themeColor="text1"/>
          <w:right w:val="single" w:sz="4" w:space="0" w:color="464646" w:themeColor="text1"/>
        </w:tcBorders>
      </w:tcPr>
    </w:tblStylePr>
    <w:tblStylePr w:type="band1Horz">
      <w:tblPr/>
      <w:tcPr>
        <w:tcBorders>
          <w:top w:val="single" w:sz="4" w:space="0" w:color="464646" w:themeColor="text1"/>
          <w:bottom w:val="single" w:sz="4" w:space="0" w:color="464646"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4646" w:themeColor="text1"/>
          <w:left w:val="nil"/>
        </w:tcBorders>
      </w:tcPr>
    </w:tblStylePr>
    <w:tblStylePr w:type="swCell">
      <w:tblPr/>
      <w:tcPr>
        <w:tcBorders>
          <w:top w:val="double" w:sz="4" w:space="0" w:color="464646" w:themeColor="text1"/>
          <w:right w:val="nil"/>
        </w:tcBorders>
      </w:tcPr>
    </w:tblStylePr>
  </w:style>
  <w:style w:type="table" w:styleId="GridTable4-Accent1">
    <w:name w:val="Grid Table 4 Accent 1"/>
    <w:basedOn w:val="TableNormal"/>
    <w:uiPriority w:val="49"/>
    <w:rsid w:val="00FB7FB3"/>
    <w:tblPr>
      <w:tblStyleRowBandSize w:val="1"/>
      <w:tblStyleColBandSize w:val="1"/>
      <w:tblBorders>
        <w:top w:val="single" w:sz="4" w:space="0" w:color="BDDA91" w:themeColor="accent1" w:themeTint="99"/>
        <w:left w:val="single" w:sz="4" w:space="0" w:color="BDDA91" w:themeColor="accent1" w:themeTint="99"/>
        <w:bottom w:val="single" w:sz="4" w:space="0" w:color="BDDA91" w:themeColor="accent1" w:themeTint="99"/>
        <w:right w:val="single" w:sz="4" w:space="0" w:color="BDDA91" w:themeColor="accent1" w:themeTint="99"/>
        <w:insideH w:val="single" w:sz="4" w:space="0" w:color="BDDA91" w:themeColor="accent1" w:themeTint="99"/>
        <w:insideV w:val="single" w:sz="4" w:space="0" w:color="BDDA91" w:themeColor="accent1" w:themeTint="99"/>
      </w:tblBorders>
    </w:tblPr>
    <w:tblStylePr w:type="firstRow">
      <w:rPr>
        <w:b/>
        <w:bCs/>
        <w:color w:val="F5F5F5" w:themeColor="background1"/>
      </w:rPr>
      <w:tblPr/>
      <w:tcPr>
        <w:tcBorders>
          <w:top w:val="single" w:sz="4" w:space="0" w:color="93C249" w:themeColor="accent1"/>
          <w:left w:val="single" w:sz="4" w:space="0" w:color="93C249" w:themeColor="accent1"/>
          <w:bottom w:val="single" w:sz="4" w:space="0" w:color="93C249" w:themeColor="accent1"/>
          <w:right w:val="single" w:sz="4" w:space="0" w:color="93C249" w:themeColor="accent1"/>
          <w:insideH w:val="nil"/>
          <w:insideV w:val="nil"/>
        </w:tcBorders>
        <w:shd w:val="clear" w:color="auto" w:fill="93C249" w:themeFill="accent1"/>
      </w:tcPr>
    </w:tblStylePr>
    <w:tblStylePr w:type="lastRow">
      <w:rPr>
        <w:b/>
        <w:bCs/>
      </w:rPr>
      <w:tblPr/>
      <w:tcPr>
        <w:tcBorders>
          <w:top w:val="double" w:sz="4" w:space="0" w:color="93C249" w:themeColor="accent1"/>
        </w:tcBorders>
      </w:tcPr>
    </w:tblStylePr>
    <w:tblStylePr w:type="firstCol">
      <w:rPr>
        <w:b/>
        <w:bCs/>
      </w:rPr>
    </w:tblStylePr>
    <w:tblStylePr w:type="lastCol">
      <w:rPr>
        <w:b/>
        <w:bCs/>
      </w:rPr>
    </w:tblStylePr>
    <w:tblStylePr w:type="band1Vert">
      <w:tblPr/>
      <w:tcPr>
        <w:shd w:val="clear" w:color="auto" w:fill="E9F2DA" w:themeFill="accent1" w:themeFillTint="33"/>
      </w:tcPr>
    </w:tblStylePr>
    <w:tblStylePr w:type="band1Horz">
      <w:tblPr/>
      <w:tcPr>
        <w:shd w:val="clear" w:color="auto" w:fill="E9F2DA" w:themeFill="accent1" w:themeFillTint="33"/>
      </w:tcPr>
    </w:tblStylePr>
  </w:style>
  <w:style w:type="table" w:styleId="GridTable4-Accent2">
    <w:name w:val="Grid Table 4 Accent 2"/>
    <w:basedOn w:val="TableNormal"/>
    <w:uiPriority w:val="49"/>
    <w:rsid w:val="00FB7FB3"/>
    <w:tblPr>
      <w:tblStyleRowBandSize w:val="1"/>
      <w:tblStyleColBandSize w:val="1"/>
      <w:tblBorders>
        <w:top w:val="single" w:sz="4" w:space="0" w:color="8DD8F1" w:themeColor="accent2" w:themeTint="99"/>
        <w:left w:val="single" w:sz="4" w:space="0" w:color="8DD8F1" w:themeColor="accent2" w:themeTint="99"/>
        <w:bottom w:val="single" w:sz="4" w:space="0" w:color="8DD8F1" w:themeColor="accent2" w:themeTint="99"/>
        <w:right w:val="single" w:sz="4" w:space="0" w:color="8DD8F1" w:themeColor="accent2" w:themeTint="99"/>
        <w:insideH w:val="single" w:sz="4" w:space="0" w:color="8DD8F1" w:themeColor="accent2" w:themeTint="99"/>
        <w:insideV w:val="single" w:sz="4" w:space="0" w:color="8DD8F1" w:themeColor="accent2" w:themeTint="99"/>
      </w:tblBorders>
    </w:tblPr>
    <w:tblStylePr w:type="firstRow">
      <w:rPr>
        <w:b/>
        <w:bCs/>
        <w:color w:val="F5F5F5" w:themeColor="background1"/>
      </w:rPr>
      <w:tblPr/>
      <w:tcPr>
        <w:tcBorders>
          <w:top w:val="single" w:sz="4" w:space="0" w:color="42BFE8" w:themeColor="accent2"/>
          <w:left w:val="single" w:sz="4" w:space="0" w:color="42BFE8" w:themeColor="accent2"/>
          <w:bottom w:val="single" w:sz="4" w:space="0" w:color="42BFE8" w:themeColor="accent2"/>
          <w:right w:val="single" w:sz="4" w:space="0" w:color="42BFE8" w:themeColor="accent2"/>
          <w:insideH w:val="nil"/>
          <w:insideV w:val="nil"/>
        </w:tcBorders>
        <w:shd w:val="clear" w:color="auto" w:fill="42BFE8" w:themeFill="accent2"/>
      </w:tcPr>
    </w:tblStylePr>
    <w:tblStylePr w:type="lastRow">
      <w:rPr>
        <w:b/>
        <w:bCs/>
      </w:rPr>
      <w:tblPr/>
      <w:tcPr>
        <w:tcBorders>
          <w:top w:val="double" w:sz="4" w:space="0" w:color="42BFE8" w:themeColor="accent2"/>
        </w:tcBorders>
      </w:tcPr>
    </w:tblStylePr>
    <w:tblStylePr w:type="firstCol">
      <w:rPr>
        <w:b/>
        <w:bCs/>
      </w:rPr>
    </w:tblStylePr>
    <w:tblStylePr w:type="lastCol">
      <w:rPr>
        <w:b/>
        <w:bCs/>
      </w:rPr>
    </w:tblStylePr>
    <w:tblStylePr w:type="band1Vert">
      <w:tblPr/>
      <w:tcPr>
        <w:shd w:val="clear" w:color="auto" w:fill="D8F2FA" w:themeFill="accent2" w:themeFillTint="33"/>
      </w:tcPr>
    </w:tblStylePr>
    <w:tblStylePr w:type="band1Horz">
      <w:tblPr/>
      <w:tcPr>
        <w:shd w:val="clear" w:color="auto" w:fill="D8F2FA" w:themeFill="accent2" w:themeFillTint="33"/>
      </w:tcPr>
    </w:tblStylePr>
  </w:style>
  <w:style w:type="table" w:styleId="GridTable1Light-Accent1">
    <w:name w:val="Grid Table 1 Light Accent 1"/>
    <w:basedOn w:val="TableNormal"/>
    <w:uiPriority w:val="46"/>
    <w:rsid w:val="00FB7FB3"/>
    <w:tblPr>
      <w:tblStyleRowBandSize w:val="1"/>
      <w:tblStyleColBandSize w:val="1"/>
      <w:tblBorders>
        <w:top w:val="single" w:sz="4" w:space="0" w:color="D3E6B6" w:themeColor="accent1" w:themeTint="66"/>
        <w:left w:val="single" w:sz="4" w:space="0" w:color="D3E6B6" w:themeColor="accent1" w:themeTint="66"/>
        <w:bottom w:val="single" w:sz="4" w:space="0" w:color="D3E6B6" w:themeColor="accent1" w:themeTint="66"/>
        <w:right w:val="single" w:sz="4" w:space="0" w:color="D3E6B6" w:themeColor="accent1" w:themeTint="66"/>
        <w:insideH w:val="single" w:sz="4" w:space="0" w:color="D3E6B6" w:themeColor="accent1" w:themeTint="66"/>
        <w:insideV w:val="single" w:sz="4" w:space="0" w:color="D3E6B6" w:themeColor="accent1" w:themeTint="66"/>
      </w:tblBorders>
    </w:tblPr>
    <w:tblStylePr w:type="firstRow">
      <w:rPr>
        <w:b/>
        <w:bCs/>
      </w:rPr>
      <w:tblPr/>
      <w:tcPr>
        <w:tcBorders>
          <w:bottom w:val="single" w:sz="12" w:space="0" w:color="BDDA91" w:themeColor="accent1" w:themeTint="99"/>
        </w:tcBorders>
      </w:tcPr>
    </w:tblStylePr>
    <w:tblStylePr w:type="lastRow">
      <w:rPr>
        <w:b/>
        <w:bCs/>
      </w:rPr>
      <w:tblPr/>
      <w:tcPr>
        <w:tcBorders>
          <w:top w:val="double" w:sz="2" w:space="0" w:color="BDDA91"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FB7FB3"/>
    <w:tblPr>
      <w:tblStyleRowBandSize w:val="1"/>
      <w:tblStyleColBandSize w:val="1"/>
      <w:tblBorders>
        <w:top w:val="single" w:sz="2" w:space="0" w:color="BDDA91" w:themeColor="accent1" w:themeTint="99"/>
        <w:bottom w:val="single" w:sz="2" w:space="0" w:color="BDDA91" w:themeColor="accent1" w:themeTint="99"/>
        <w:insideH w:val="single" w:sz="2" w:space="0" w:color="BDDA91" w:themeColor="accent1" w:themeTint="99"/>
        <w:insideV w:val="single" w:sz="2" w:space="0" w:color="BDDA91" w:themeColor="accent1" w:themeTint="99"/>
      </w:tblBorders>
    </w:tblPr>
    <w:tblStylePr w:type="firstRow">
      <w:rPr>
        <w:b/>
        <w:bCs/>
      </w:rPr>
      <w:tblPr/>
      <w:tcPr>
        <w:tcBorders>
          <w:top w:val="nil"/>
          <w:bottom w:val="single" w:sz="12" w:space="0" w:color="BDDA91" w:themeColor="accent1" w:themeTint="99"/>
          <w:insideH w:val="nil"/>
          <w:insideV w:val="nil"/>
        </w:tcBorders>
        <w:shd w:val="clear" w:color="auto" w:fill="F5F5F5" w:themeFill="background1"/>
      </w:tcPr>
    </w:tblStylePr>
    <w:tblStylePr w:type="lastRow">
      <w:rPr>
        <w:b/>
        <w:bCs/>
      </w:rPr>
      <w:tblPr/>
      <w:tcPr>
        <w:tcBorders>
          <w:top w:val="double" w:sz="2" w:space="0" w:color="BDDA91" w:themeColor="accent1" w:themeTint="99"/>
          <w:bottom w:val="nil"/>
          <w:insideH w:val="nil"/>
          <w:insideV w:val="nil"/>
        </w:tcBorders>
        <w:shd w:val="clear" w:color="auto" w:fill="F5F5F5" w:themeFill="background1"/>
      </w:tcPr>
    </w:tblStylePr>
    <w:tblStylePr w:type="firstCol">
      <w:rPr>
        <w:b/>
        <w:bCs/>
      </w:rPr>
    </w:tblStylePr>
    <w:tblStylePr w:type="lastCol">
      <w:rPr>
        <w:b/>
        <w:bCs/>
      </w:rPr>
    </w:tblStylePr>
    <w:tblStylePr w:type="band1Vert">
      <w:tblPr/>
      <w:tcPr>
        <w:shd w:val="clear" w:color="auto" w:fill="E9F2DA" w:themeFill="accent1" w:themeFillTint="33"/>
      </w:tcPr>
    </w:tblStylePr>
    <w:tblStylePr w:type="band1Horz">
      <w:tblPr/>
      <w:tcPr>
        <w:shd w:val="clear" w:color="auto" w:fill="E9F2DA" w:themeFill="accent1" w:themeFillTint="33"/>
      </w:tcPr>
    </w:tblStylePr>
  </w:style>
  <w:style w:type="table" w:styleId="GridTable5Dark-Accent1">
    <w:name w:val="Grid Table 5 Dark Accent 1"/>
    <w:basedOn w:val="TableNormal"/>
    <w:uiPriority w:val="50"/>
    <w:rsid w:val="00FB7FB3"/>
    <w:tblPr>
      <w:tblStyleRowBandSize w:val="1"/>
      <w:tblStyleColBandSize w:val="1"/>
      <w:tblBorders>
        <w:top w:val="single" w:sz="4" w:space="0" w:color="F5F5F5" w:themeColor="background1"/>
        <w:left w:val="single" w:sz="4" w:space="0" w:color="F5F5F5" w:themeColor="background1"/>
        <w:bottom w:val="single" w:sz="4" w:space="0" w:color="F5F5F5" w:themeColor="background1"/>
        <w:right w:val="single" w:sz="4" w:space="0" w:color="F5F5F5" w:themeColor="background1"/>
        <w:insideH w:val="single" w:sz="4" w:space="0" w:color="F5F5F5" w:themeColor="background1"/>
        <w:insideV w:val="single" w:sz="4" w:space="0" w:color="F5F5F5" w:themeColor="background1"/>
      </w:tblBorders>
    </w:tblPr>
    <w:tcPr>
      <w:shd w:val="clear" w:color="auto" w:fill="E9F2DA" w:themeFill="accent1" w:themeFillTint="33"/>
    </w:tcPr>
    <w:tblStylePr w:type="firstRow">
      <w:rPr>
        <w:b/>
        <w:bCs/>
        <w:color w:val="F5F5F5" w:themeColor="background1"/>
      </w:rPr>
      <w:tblPr/>
      <w:tcPr>
        <w:tcBorders>
          <w:top w:val="single" w:sz="4" w:space="0" w:color="F5F5F5" w:themeColor="background1"/>
          <w:left w:val="single" w:sz="4" w:space="0" w:color="F5F5F5" w:themeColor="background1"/>
          <w:right w:val="single" w:sz="4" w:space="0" w:color="F5F5F5" w:themeColor="background1"/>
          <w:insideH w:val="nil"/>
          <w:insideV w:val="nil"/>
        </w:tcBorders>
        <w:shd w:val="clear" w:color="auto" w:fill="93C249" w:themeFill="accent1"/>
      </w:tcPr>
    </w:tblStylePr>
    <w:tblStylePr w:type="lastRow">
      <w:rPr>
        <w:b/>
        <w:bCs/>
        <w:color w:val="F5F5F5" w:themeColor="background1"/>
      </w:rPr>
      <w:tblPr/>
      <w:tcPr>
        <w:tcBorders>
          <w:left w:val="single" w:sz="4" w:space="0" w:color="F5F5F5" w:themeColor="background1"/>
          <w:bottom w:val="single" w:sz="4" w:space="0" w:color="F5F5F5" w:themeColor="background1"/>
          <w:right w:val="single" w:sz="4" w:space="0" w:color="F5F5F5" w:themeColor="background1"/>
          <w:insideH w:val="nil"/>
          <w:insideV w:val="nil"/>
        </w:tcBorders>
        <w:shd w:val="clear" w:color="auto" w:fill="93C249" w:themeFill="accent1"/>
      </w:tcPr>
    </w:tblStylePr>
    <w:tblStylePr w:type="firstCol">
      <w:rPr>
        <w:b/>
        <w:bCs/>
        <w:color w:val="F5F5F5" w:themeColor="background1"/>
      </w:rPr>
      <w:tblPr/>
      <w:tcPr>
        <w:tcBorders>
          <w:top w:val="single" w:sz="4" w:space="0" w:color="F5F5F5" w:themeColor="background1"/>
          <w:left w:val="single" w:sz="4" w:space="0" w:color="F5F5F5" w:themeColor="background1"/>
          <w:bottom w:val="single" w:sz="4" w:space="0" w:color="F5F5F5" w:themeColor="background1"/>
          <w:insideV w:val="nil"/>
        </w:tcBorders>
        <w:shd w:val="clear" w:color="auto" w:fill="93C249" w:themeFill="accent1"/>
      </w:tcPr>
    </w:tblStylePr>
    <w:tblStylePr w:type="lastCol">
      <w:rPr>
        <w:b/>
        <w:bCs/>
        <w:color w:val="F5F5F5" w:themeColor="background1"/>
      </w:rPr>
      <w:tblPr/>
      <w:tcPr>
        <w:tcBorders>
          <w:top w:val="single" w:sz="4" w:space="0" w:color="F5F5F5" w:themeColor="background1"/>
          <w:bottom w:val="single" w:sz="4" w:space="0" w:color="F5F5F5" w:themeColor="background1"/>
          <w:right w:val="single" w:sz="4" w:space="0" w:color="F5F5F5" w:themeColor="background1"/>
          <w:insideV w:val="nil"/>
        </w:tcBorders>
        <w:shd w:val="clear" w:color="auto" w:fill="93C249" w:themeFill="accent1"/>
      </w:tcPr>
    </w:tblStylePr>
    <w:tblStylePr w:type="band1Vert">
      <w:tblPr/>
      <w:tcPr>
        <w:shd w:val="clear" w:color="auto" w:fill="D3E6B6" w:themeFill="accent1" w:themeFillTint="66"/>
      </w:tcPr>
    </w:tblStylePr>
    <w:tblStylePr w:type="band1Horz">
      <w:tblPr/>
      <w:tcPr>
        <w:shd w:val="clear" w:color="auto" w:fill="D3E6B6" w:themeFill="accent1" w:themeFillTint="66"/>
      </w:tcPr>
    </w:tblStylePr>
  </w:style>
  <w:style w:type="table" w:customStyle="1" w:styleId="IoF2020">
    <w:name w:val="IoF2020"/>
    <w:basedOn w:val="TableNormal"/>
    <w:uiPriority w:val="99"/>
    <w:rsid w:val="001C588A"/>
    <w:rPr>
      <w:rFonts w:ascii="Arial" w:hAnsi="Arial"/>
    </w:rPr>
    <w:tblPr>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Pr>
    <w:tcPr>
      <w:shd w:val="clear" w:color="auto" w:fill="auto"/>
    </w:tcPr>
    <w:tblStylePr w:type="firstRow">
      <w:tblPr/>
      <w:tcPr>
        <w:tc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l2br w:val="nil"/>
          <w:tr2bl w:val="nil"/>
        </w:tcBorders>
        <w:shd w:val="clear" w:color="auto" w:fill="EEECE1" w:themeFill="background2"/>
      </w:tcPr>
    </w:tblStylePr>
  </w:style>
  <w:style w:type="paragraph" w:styleId="Caption">
    <w:name w:val="caption"/>
    <w:aliases w:val="Table caption,figure"/>
    <w:basedOn w:val="Normal"/>
    <w:next w:val="Normal"/>
    <w:uiPriority w:val="99"/>
    <w:unhideWhenUsed/>
    <w:qFormat/>
    <w:rsid w:val="001C588A"/>
    <w:pPr>
      <w:spacing w:before="0" w:after="200"/>
    </w:pPr>
    <w:rPr>
      <w:i/>
      <w:iCs/>
      <w:sz w:val="18"/>
      <w:szCs w:val="18"/>
    </w:rPr>
  </w:style>
  <w:style w:type="paragraph" w:styleId="BalloonText">
    <w:name w:val="Balloon Text"/>
    <w:basedOn w:val="Normal"/>
    <w:link w:val="BalloonTextChar"/>
    <w:uiPriority w:val="99"/>
    <w:semiHidden/>
    <w:unhideWhenUsed/>
    <w:rsid w:val="00D42FD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FDA"/>
    <w:rPr>
      <w:rFonts w:ascii="Segoe UI" w:hAnsi="Segoe UI" w:cs="Segoe UI"/>
      <w:color w:val="464646" w:themeColor="text1"/>
      <w:sz w:val="18"/>
      <w:szCs w:val="18"/>
    </w:rPr>
  </w:style>
  <w:style w:type="character" w:styleId="CommentReference">
    <w:name w:val="annotation reference"/>
    <w:basedOn w:val="DefaultParagraphFont"/>
    <w:uiPriority w:val="99"/>
    <w:semiHidden/>
    <w:unhideWhenUsed/>
    <w:rsid w:val="00E22EE9"/>
    <w:rPr>
      <w:sz w:val="16"/>
      <w:szCs w:val="16"/>
    </w:rPr>
  </w:style>
  <w:style w:type="paragraph" w:styleId="CommentText">
    <w:name w:val="annotation text"/>
    <w:basedOn w:val="Normal"/>
    <w:link w:val="CommentTextChar"/>
    <w:uiPriority w:val="99"/>
    <w:semiHidden/>
    <w:unhideWhenUsed/>
    <w:rsid w:val="00E22EE9"/>
    <w:rPr>
      <w:szCs w:val="20"/>
    </w:rPr>
  </w:style>
  <w:style w:type="character" w:customStyle="1" w:styleId="CommentTextChar">
    <w:name w:val="Comment Text Char"/>
    <w:basedOn w:val="DefaultParagraphFont"/>
    <w:link w:val="CommentText"/>
    <w:uiPriority w:val="99"/>
    <w:semiHidden/>
    <w:rsid w:val="00E22EE9"/>
    <w:rPr>
      <w:rFonts w:ascii="Arial" w:hAnsi="Arial" w:cs="Arial"/>
      <w:color w:val="464646" w:themeColor="text1"/>
      <w:sz w:val="20"/>
      <w:szCs w:val="20"/>
    </w:rPr>
  </w:style>
  <w:style w:type="paragraph" w:styleId="CommentSubject">
    <w:name w:val="annotation subject"/>
    <w:basedOn w:val="CommentText"/>
    <w:next w:val="CommentText"/>
    <w:link w:val="CommentSubjectChar"/>
    <w:uiPriority w:val="99"/>
    <w:semiHidden/>
    <w:unhideWhenUsed/>
    <w:rsid w:val="00E22EE9"/>
    <w:rPr>
      <w:b/>
      <w:bCs/>
    </w:rPr>
  </w:style>
  <w:style w:type="character" w:customStyle="1" w:styleId="CommentSubjectChar">
    <w:name w:val="Comment Subject Char"/>
    <w:basedOn w:val="CommentTextChar"/>
    <w:link w:val="CommentSubject"/>
    <w:uiPriority w:val="99"/>
    <w:semiHidden/>
    <w:rsid w:val="00E22EE9"/>
    <w:rPr>
      <w:rFonts w:ascii="Arial" w:hAnsi="Arial" w:cs="Arial"/>
      <w:b/>
      <w:bCs/>
      <w:color w:val="464646" w:themeColor="text1"/>
      <w:sz w:val="20"/>
      <w:szCs w:val="20"/>
    </w:rPr>
  </w:style>
  <w:style w:type="paragraph" w:customStyle="1" w:styleId="Bullet1">
    <w:name w:val="Bullet 1"/>
    <w:basedOn w:val="Normal"/>
    <w:qFormat/>
    <w:rsid w:val="004E6378"/>
    <w:pPr>
      <w:numPr>
        <w:ilvl w:val="1"/>
        <w:numId w:val="12"/>
      </w:numPr>
      <w:spacing w:before="120" w:after="60"/>
      <w:ind w:left="568" w:hanging="284"/>
    </w:pPr>
  </w:style>
  <w:style w:type="paragraph" w:customStyle="1" w:styleId="Bullet2">
    <w:name w:val="Bullet 2"/>
    <w:basedOn w:val="Bullet1"/>
    <w:qFormat/>
    <w:rsid w:val="00F82F0A"/>
    <w:pPr>
      <w:numPr>
        <w:ilvl w:val="0"/>
        <w:numId w:val="24"/>
      </w:numPr>
      <w:spacing w:before="60"/>
    </w:pPr>
  </w:style>
  <w:style w:type="paragraph" w:styleId="Revision">
    <w:name w:val="Revision"/>
    <w:hidden/>
    <w:uiPriority w:val="99"/>
    <w:semiHidden/>
    <w:rsid w:val="00983C21"/>
    <w:rPr>
      <w:rFonts w:ascii="Arial" w:hAnsi="Arial" w:cs="Arial"/>
      <w:color w:val="464646" w:themeColor="text1"/>
      <w:sz w:val="20"/>
    </w:rPr>
  </w:style>
  <w:style w:type="character" w:styleId="Strong">
    <w:name w:val="Strong"/>
    <w:basedOn w:val="DefaultParagraphFont"/>
    <w:uiPriority w:val="22"/>
    <w:qFormat/>
    <w:rsid w:val="007D72AB"/>
    <w:rPr>
      <w:b/>
      <w:bCs/>
      <w:spacing w:val="-4"/>
      <w:lang w:val="en-GB"/>
    </w:rPr>
  </w:style>
  <w:style w:type="table" w:styleId="LightList-Accent1">
    <w:name w:val="Light List Accent 1"/>
    <w:basedOn w:val="TableNormal"/>
    <w:uiPriority w:val="61"/>
    <w:rsid w:val="007D72AB"/>
    <w:rPr>
      <w:rFonts w:ascii="Verdana" w:hAnsi="Verdana"/>
      <w:sz w:val="17"/>
      <w:szCs w:val="22"/>
      <w:lang w:val="en-GB"/>
    </w:rPr>
    <w:tblPr>
      <w:tblStyleRowBandSize w:val="1"/>
      <w:tblStyleColBandSize w:val="1"/>
      <w:tblBorders>
        <w:top w:val="single" w:sz="8" w:space="0" w:color="93C249" w:themeColor="accent1"/>
        <w:left w:val="single" w:sz="8" w:space="0" w:color="93C249" w:themeColor="accent1"/>
        <w:bottom w:val="single" w:sz="8" w:space="0" w:color="93C249" w:themeColor="accent1"/>
        <w:right w:val="single" w:sz="8" w:space="0" w:color="93C249" w:themeColor="accent1"/>
      </w:tblBorders>
    </w:tblPr>
    <w:tblStylePr w:type="firstRow">
      <w:pPr>
        <w:spacing w:before="0" w:after="0" w:line="240" w:lineRule="auto"/>
      </w:pPr>
      <w:rPr>
        <w:b/>
        <w:bCs/>
        <w:color w:val="F5F5F5" w:themeColor="background1"/>
      </w:rPr>
      <w:tblPr/>
      <w:tcPr>
        <w:shd w:val="clear" w:color="auto" w:fill="93C249" w:themeFill="accent1"/>
      </w:tcPr>
    </w:tblStylePr>
    <w:tblStylePr w:type="lastRow">
      <w:pPr>
        <w:spacing w:before="0" w:after="0" w:line="240" w:lineRule="auto"/>
      </w:pPr>
      <w:rPr>
        <w:b/>
        <w:bCs/>
      </w:rPr>
      <w:tblPr/>
      <w:tcPr>
        <w:tcBorders>
          <w:top w:val="double" w:sz="6" w:space="0" w:color="93C249" w:themeColor="accent1"/>
          <w:left w:val="single" w:sz="8" w:space="0" w:color="93C249" w:themeColor="accent1"/>
          <w:bottom w:val="single" w:sz="8" w:space="0" w:color="93C249" w:themeColor="accent1"/>
          <w:right w:val="single" w:sz="8" w:space="0" w:color="93C249" w:themeColor="accent1"/>
        </w:tcBorders>
      </w:tcPr>
    </w:tblStylePr>
    <w:tblStylePr w:type="firstCol">
      <w:rPr>
        <w:b/>
        <w:bCs/>
      </w:rPr>
    </w:tblStylePr>
    <w:tblStylePr w:type="lastCol">
      <w:rPr>
        <w:b/>
        <w:bCs/>
      </w:rPr>
    </w:tblStylePr>
    <w:tblStylePr w:type="band1Vert">
      <w:tblPr/>
      <w:tcPr>
        <w:tcBorders>
          <w:top w:val="single" w:sz="8" w:space="0" w:color="93C249" w:themeColor="accent1"/>
          <w:left w:val="single" w:sz="8" w:space="0" w:color="93C249" w:themeColor="accent1"/>
          <w:bottom w:val="single" w:sz="8" w:space="0" w:color="93C249" w:themeColor="accent1"/>
          <w:right w:val="single" w:sz="8" w:space="0" w:color="93C249" w:themeColor="accent1"/>
        </w:tcBorders>
      </w:tcPr>
    </w:tblStylePr>
    <w:tblStylePr w:type="band1Horz">
      <w:tblPr/>
      <w:tcPr>
        <w:tcBorders>
          <w:top w:val="single" w:sz="8" w:space="0" w:color="93C249" w:themeColor="accent1"/>
          <w:left w:val="single" w:sz="8" w:space="0" w:color="93C249" w:themeColor="accent1"/>
          <w:bottom w:val="single" w:sz="8" w:space="0" w:color="93C249" w:themeColor="accent1"/>
          <w:right w:val="single" w:sz="8" w:space="0" w:color="93C249" w:themeColor="accent1"/>
        </w:tcBorders>
      </w:tcPr>
    </w:tblStylePr>
  </w:style>
  <w:style w:type="paragraph" w:customStyle="1" w:styleId="TableTextleft">
    <w:name w:val="Table Text (left)"/>
    <w:basedOn w:val="Normal"/>
    <w:link w:val="TableTextleftChar"/>
    <w:rsid w:val="007D72AB"/>
    <w:pPr>
      <w:spacing w:before="0" w:after="0"/>
    </w:pPr>
    <w:rPr>
      <w:rFonts w:ascii="Calibri Light" w:hAnsi="Calibri Light" w:cstheme="minorBidi"/>
      <w:color w:val="auto"/>
      <w:spacing w:val="-8"/>
      <w:sz w:val="22"/>
      <w:szCs w:val="17"/>
      <w:lang w:val="en-GB"/>
    </w:rPr>
  </w:style>
  <w:style w:type="character" w:customStyle="1" w:styleId="TableTextleftChar">
    <w:name w:val="Table Text (left) Char"/>
    <w:basedOn w:val="DefaultParagraphFont"/>
    <w:link w:val="TableTextleft"/>
    <w:rsid w:val="007D72AB"/>
    <w:rPr>
      <w:rFonts w:ascii="Calibri Light" w:hAnsi="Calibri Light"/>
      <w:spacing w:val="-8"/>
      <w:sz w:val="22"/>
      <w:szCs w:val="17"/>
      <w:lang w:val="en-GB"/>
    </w:rPr>
  </w:style>
  <w:style w:type="paragraph" w:customStyle="1" w:styleId="TableTextcentred">
    <w:name w:val="Table Text (centred)"/>
    <w:basedOn w:val="TableTextleft"/>
    <w:qFormat/>
    <w:rsid w:val="00C15C25"/>
    <w:pPr>
      <w:jc w:val="center"/>
    </w:pPr>
  </w:style>
  <w:style w:type="character" w:styleId="FollowedHyperlink">
    <w:name w:val="FollowedHyperlink"/>
    <w:basedOn w:val="DefaultParagraphFont"/>
    <w:uiPriority w:val="99"/>
    <w:semiHidden/>
    <w:unhideWhenUsed/>
    <w:rsid w:val="007A7EEA"/>
    <w:rPr>
      <w:color w:val="9178A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3102">
      <w:bodyDiv w:val="1"/>
      <w:marLeft w:val="0"/>
      <w:marRight w:val="0"/>
      <w:marTop w:val="0"/>
      <w:marBottom w:val="0"/>
      <w:divBdr>
        <w:top w:val="none" w:sz="0" w:space="0" w:color="auto"/>
        <w:left w:val="none" w:sz="0" w:space="0" w:color="auto"/>
        <w:bottom w:val="none" w:sz="0" w:space="0" w:color="auto"/>
        <w:right w:val="none" w:sz="0" w:space="0" w:color="auto"/>
      </w:divBdr>
    </w:div>
    <w:div w:id="730814476">
      <w:bodyDiv w:val="1"/>
      <w:marLeft w:val="0"/>
      <w:marRight w:val="0"/>
      <w:marTop w:val="0"/>
      <w:marBottom w:val="0"/>
      <w:divBdr>
        <w:top w:val="none" w:sz="0" w:space="0" w:color="auto"/>
        <w:left w:val="none" w:sz="0" w:space="0" w:color="auto"/>
        <w:bottom w:val="none" w:sz="0" w:space="0" w:color="auto"/>
        <w:right w:val="none" w:sz="0" w:space="0" w:color="auto"/>
      </w:divBdr>
    </w:div>
    <w:div w:id="1466508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oF2020.eu" TargetMode="External"/><Relationship Id="rId17" Type="http://schemas.openxmlformats.org/officeDocument/2006/relationships/hyperlink" Target="http://ec.europa.eu/research/participants/docs/h2020-funding-guide/grants/applying-for-funding/find-a-call/what-you-need-to-know_en.htm" TargetMode="External"/><Relationship Id="rId2" Type="http://schemas.openxmlformats.org/officeDocument/2006/relationships/numbering" Target="numbering.xml"/><Relationship Id="rId16" Type="http://schemas.openxmlformats.org/officeDocument/2006/relationships/hyperlink" Target="http://www.iof2020.eu/opencal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f2020.eu/about/deliverables" TargetMode="External"/><Relationship Id="rId5" Type="http://schemas.openxmlformats.org/officeDocument/2006/relationships/webSettings" Target="webSettings.xml"/><Relationship Id="rId15" Type="http://schemas.openxmlformats.org/officeDocument/2006/relationships/hyperlink" Target="http://www.iof2020.eu/opencall" TargetMode="External"/><Relationship Id="rId23" Type="http://schemas.openxmlformats.org/officeDocument/2006/relationships/theme" Target="theme/theme1.xml"/><Relationship Id="rId10" Type="http://schemas.openxmlformats.org/officeDocument/2006/relationships/hyperlink" Target="https://iof2020.eu/tria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of2020.eu/trials" TargetMode="External"/><Relationship Id="rId14" Type="http://schemas.openxmlformats.org/officeDocument/2006/relationships/hyperlink" Target="http://www.iof2020.eu/about/deliverables"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of2020.eu/"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growth/smes/business-friendly-environment/sme-definition_de" TargetMode="External"/><Relationship Id="rId2" Type="http://schemas.openxmlformats.org/officeDocument/2006/relationships/hyperlink" Target="http://ec.europa.eu/research/participants/data/ref/h2020/grants_manual/hi/3cpart/h2020-hi-list-ac_en.pdf" TargetMode="External"/><Relationship Id="rId1" Type="http://schemas.openxmlformats.org/officeDocument/2006/relationships/hyperlink" Target="https://ec.europa.eu/eip/agriculture/en/publications/eip-agri-brochure-horizon-2020-multi-actor" TargetMode="External"/><Relationship Id="rId5" Type="http://schemas.openxmlformats.org/officeDocument/2006/relationships/hyperlink" Target="http://ec.europa.eu/eurostat/statistics-explained/index.php/Glossary:Country_codes" TargetMode="External"/><Relationship Id="rId4" Type="http://schemas.openxmlformats.org/officeDocument/2006/relationships/hyperlink" Target="http://ec.europa.eu/research/bitlys/h2020_associated_countri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IOF 2020">
      <a:dk1>
        <a:srgbClr val="464646"/>
      </a:dk1>
      <a:lt1>
        <a:srgbClr val="F5F5F5"/>
      </a:lt1>
      <a:dk2>
        <a:srgbClr val="7C4E2A"/>
      </a:dk2>
      <a:lt2>
        <a:srgbClr val="EEECE1"/>
      </a:lt2>
      <a:accent1>
        <a:srgbClr val="93C249"/>
      </a:accent1>
      <a:accent2>
        <a:srgbClr val="42BFE8"/>
      </a:accent2>
      <a:accent3>
        <a:srgbClr val="9178AF"/>
      </a:accent3>
      <a:accent4>
        <a:srgbClr val="F5C850"/>
      </a:accent4>
      <a:accent5>
        <a:srgbClr val="DC5959"/>
      </a:accent5>
      <a:accent6>
        <a:srgbClr val="DC9618"/>
      </a:accent6>
      <a:hlink>
        <a:srgbClr val="6AC1E7"/>
      </a:hlink>
      <a:folHlink>
        <a:srgbClr val="9178A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255235-FBE1-4568-BB67-CF9AA2C4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E0BFD557.dotm</Template>
  <TotalTime>109</TotalTime>
  <Pages>24</Pages>
  <Words>7439</Words>
  <Characters>40920</Characters>
  <Application>Microsoft Office Word</Application>
  <DocSecurity>0</DocSecurity>
  <Lines>341</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IoF2020 Open Call Preparation</vt:lpstr>
      <vt:lpstr>IoF2020 Open Call Preparation</vt:lpstr>
    </vt:vector>
  </TitlesOfParts>
  <Manager/>
  <Company/>
  <LinksUpToDate>false</LinksUpToDate>
  <CharactersWithSpaces>48263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IoF2020 Open Call Preparation</dc:title>
  <dc:subject/>
  <dc:creator>IoF2020</dc:creator>
  <cp:keywords/>
  <dc:description/>
  <cp:lastModifiedBy>Bogers, Marion</cp:lastModifiedBy>
  <cp:revision>17</cp:revision>
  <cp:lastPrinted>2018-05-15T08:59:00Z</cp:lastPrinted>
  <dcterms:created xsi:type="dcterms:W3CDTF">2018-05-29T14:12:00Z</dcterms:created>
  <dcterms:modified xsi:type="dcterms:W3CDTF">2018-06-04T11:34:00Z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